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ED049">
      <w:pPr>
        <w:jc w:val="center"/>
        <w:outlineLvl w:val="0"/>
        <w:rPr>
          <w:highlight w:val="none"/>
        </w:rPr>
      </w:pPr>
      <w:r>
        <w:rPr>
          <w:b/>
          <w:sz w:val="36"/>
          <w:highlight w:val="none"/>
        </w:rPr>
        <w:t xml:space="preserve"> </w:t>
      </w:r>
      <w:r>
        <w:rPr>
          <w:rFonts w:hint="eastAsia"/>
          <w:b/>
          <w:sz w:val="36"/>
          <w:highlight w:val="none"/>
        </w:rPr>
        <w:t>项目需求书</w:t>
      </w:r>
    </w:p>
    <w:p w14:paraId="6AA96D63">
      <w:pPr>
        <w:spacing w:line="360" w:lineRule="auto"/>
        <w:outlineLvl w:val="0"/>
        <w:rPr>
          <w:b/>
          <w:bCs/>
          <w:highlight w:val="none"/>
        </w:rPr>
      </w:pPr>
      <w:r>
        <w:rPr>
          <w:rFonts w:hint="eastAsia"/>
          <w:b/>
          <w:bCs/>
          <w:highlight w:val="none"/>
        </w:rPr>
        <w:t>一、项目概述</w:t>
      </w:r>
    </w:p>
    <w:p w14:paraId="00D66C40">
      <w:pPr>
        <w:spacing w:line="360" w:lineRule="auto"/>
        <w:rPr>
          <w:color w:val="000000" w:themeColor="text1"/>
          <w:highlight w:val="none"/>
          <w14:textFill>
            <w14:solidFill>
              <w14:schemeClr w14:val="tx1"/>
            </w14:solidFill>
          </w14:textFill>
        </w:rPr>
      </w:pPr>
      <w:r>
        <w:rPr>
          <w:highlight w:val="none"/>
        </w:rPr>
        <w:t>本项目采购包括：</w:t>
      </w:r>
    </w:p>
    <w:p w14:paraId="3D037B56">
      <w:pPr>
        <w:spacing w:line="360" w:lineRule="auto"/>
        <w:ind w:firstLine="420" w:firstLineChars="200"/>
        <w:rPr>
          <w:highlight w:val="none"/>
        </w:rPr>
      </w:pPr>
      <w:r>
        <w:rPr>
          <w:rFonts w:hint="eastAsia"/>
          <w:color w:val="000000" w:themeColor="text1"/>
          <w:highlight w:val="none"/>
          <w14:textFill>
            <w14:solidFill>
              <w14:schemeClr w14:val="tx1"/>
            </w14:solidFill>
          </w14:textFill>
        </w:rPr>
        <w:t>本次项目对</w:t>
      </w:r>
      <w:r>
        <w:rPr>
          <w:rFonts w:hint="eastAsia"/>
          <w:color w:val="000000" w:themeColor="text1"/>
          <w:highlight w:val="none"/>
          <w14:textFill>
            <w14:solidFill>
              <w14:schemeClr w14:val="tx1"/>
            </w14:solidFill>
          </w14:textFill>
        </w:rPr>
        <w:t>化州市人民医院</w:t>
      </w:r>
      <w:r>
        <w:rPr>
          <w:rFonts w:hint="eastAsia"/>
          <w:color w:val="000000" w:themeColor="text1"/>
          <w:highlight w:val="none"/>
          <w14:textFill>
            <w14:solidFill>
              <w14:schemeClr w14:val="tx1"/>
            </w14:solidFill>
          </w14:textFill>
        </w:rPr>
        <w:t>的</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个三级</w:t>
      </w:r>
      <w:r>
        <w:rPr>
          <w:rFonts w:hint="eastAsia"/>
          <w:color w:val="000000" w:themeColor="text1"/>
          <w:highlight w:val="none"/>
          <w14:textFill>
            <w14:solidFill>
              <w14:schemeClr w14:val="tx1"/>
            </w14:solidFill>
          </w14:textFill>
        </w:rPr>
        <w:t>应用系统开展网络安全等级保护测评，依据信息系统的安全保护等级，通过人员访谈、文档审查、实地察看、配置检查、工具检</w:t>
      </w:r>
      <w:r>
        <w:rPr>
          <w:rFonts w:hint="eastAsia"/>
          <w:highlight w:val="none"/>
        </w:rPr>
        <w:t>测等方法从安全技术（安全物理环境、安全通信网络、安全区域边界、安全计算环境、安全管理中心）和安全管理（安全管理制度、安全管理机构、安全管理人员、安全建设管理、安全运维管理）等方面</w:t>
      </w:r>
      <w:r>
        <w:rPr>
          <w:rFonts w:ascii="宋体" w:hAnsi="宋体" w:eastAsia="宋体" w:cs="Times New Roman"/>
          <w:szCs w:val="22"/>
          <w:highlight w:val="none"/>
          <w14:ligatures w14:val="standardContextual"/>
        </w:rPr>
        <w:t>进行差距分析</w:t>
      </w:r>
      <w:r>
        <w:rPr>
          <w:rFonts w:hint="eastAsia"/>
          <w:highlight w:val="none"/>
        </w:rPr>
        <w:t>，测评信息系统现有的安全保护水平与国家信息安全等级保护管理规范和技术标准要求项之间的符合情况。对信息系统进行整体、全面</w:t>
      </w:r>
      <w:bookmarkStart w:id="1" w:name="_GoBack"/>
      <w:bookmarkEnd w:id="1"/>
      <w:r>
        <w:rPr>
          <w:rFonts w:hint="eastAsia"/>
          <w:highlight w:val="none"/>
        </w:rPr>
        <w:t>、公正的评估，对不符合项进行风险分析，出具《信息系统网络安全等级保护测评问题整改清单》，</w:t>
      </w:r>
      <w:r>
        <w:rPr>
          <w:rFonts w:hint="eastAsia"/>
          <w:highlight w:val="none"/>
          <w:lang w:eastAsia="zh-CN"/>
        </w:rPr>
        <w:t>并</w:t>
      </w:r>
      <w:r>
        <w:rPr>
          <w:rFonts w:hint="eastAsia"/>
          <w:highlight w:val="none"/>
        </w:rPr>
        <w:t>协助完成整改，达到国家规定的信息安全要求，最终完成验收测评工作，验收测评合格出具《网络安全等级保护测评报告》</w:t>
      </w:r>
      <w:r>
        <w:rPr>
          <w:rFonts w:hint="eastAsia"/>
          <w:highlight w:val="none"/>
          <w:lang w:eastAsia="zh-CN"/>
        </w:rPr>
        <w:t>，</w:t>
      </w:r>
      <w:r>
        <w:rPr>
          <w:rFonts w:hint="eastAsia"/>
          <w:highlight w:val="none"/>
        </w:rPr>
        <w:t>并协助将</w:t>
      </w:r>
      <w:r>
        <w:rPr>
          <w:rFonts w:hint="eastAsia"/>
          <w:highlight w:val="none"/>
          <w:lang w:eastAsia="zh-CN"/>
        </w:rPr>
        <w:t>报告</w:t>
      </w:r>
      <w:r>
        <w:rPr>
          <w:rFonts w:hint="eastAsia"/>
          <w:highlight w:val="none"/>
        </w:rPr>
        <w:t>提交至</w:t>
      </w:r>
      <w:r>
        <w:rPr>
          <w:rFonts w:hint="eastAsia"/>
          <w:highlight w:val="none"/>
          <w:lang w:eastAsia="zh-CN"/>
        </w:rPr>
        <w:t>广东省公安厅</w:t>
      </w:r>
      <w:r>
        <w:rPr>
          <w:rFonts w:hint="eastAsia"/>
          <w:highlight w:val="none"/>
        </w:rPr>
        <w:t>，</w:t>
      </w:r>
      <w:r>
        <w:rPr>
          <w:rFonts w:hint="eastAsia"/>
          <w:highlight w:val="none"/>
          <w:lang w:eastAsia="zh-CN"/>
        </w:rPr>
        <w:t>领取</w:t>
      </w:r>
      <w:r>
        <w:rPr>
          <w:rFonts w:hint="eastAsia" w:ascii="宋体" w:hAnsi="宋体" w:eastAsia="宋体" w:cs="Times New Roman"/>
          <w:szCs w:val="22"/>
          <w:highlight w:val="none"/>
          <w14:ligatures w14:val="standardContextual"/>
        </w:rPr>
        <w:t>《网络安全等级测评报告回执》</w:t>
      </w:r>
      <w:r>
        <w:rPr>
          <w:rFonts w:hint="eastAsia"/>
          <w:highlight w:val="none"/>
        </w:rPr>
        <w:t>。</w:t>
      </w:r>
    </w:p>
    <w:p w14:paraId="499F72E7">
      <w:pPr>
        <w:spacing w:line="360" w:lineRule="auto"/>
        <w:outlineLvl w:val="0"/>
        <w:rPr>
          <w:b/>
          <w:bCs/>
          <w:highlight w:val="none"/>
        </w:rPr>
      </w:pPr>
      <w:r>
        <w:rPr>
          <w:rFonts w:hint="eastAsia"/>
          <w:b/>
          <w:bCs/>
          <w:highlight w:val="none"/>
        </w:rPr>
        <w:t>二、依据及参考规范</w:t>
      </w:r>
    </w:p>
    <w:p w14:paraId="0507D300">
      <w:pPr>
        <w:spacing w:line="360" w:lineRule="auto"/>
        <w:outlineLvl w:val="1"/>
        <w:rPr>
          <w:highlight w:val="none"/>
        </w:rPr>
      </w:pPr>
      <w:r>
        <w:rPr>
          <w:rFonts w:hint="eastAsia"/>
          <w:highlight w:val="none"/>
        </w:rPr>
        <w:t xml:space="preserve">（一）法律法规： </w:t>
      </w:r>
    </w:p>
    <w:p w14:paraId="18365AA1">
      <w:pPr>
        <w:spacing w:line="360" w:lineRule="auto"/>
        <w:outlineLvl w:val="2"/>
        <w:rPr>
          <w:highlight w:val="none"/>
        </w:rPr>
      </w:pPr>
      <w:r>
        <w:rPr>
          <w:rFonts w:hint="eastAsia"/>
          <w:highlight w:val="none"/>
        </w:rPr>
        <w:t>1、《中华人民共和国网络安全法》；</w:t>
      </w:r>
    </w:p>
    <w:p w14:paraId="783F8BBB">
      <w:pPr>
        <w:spacing w:line="360" w:lineRule="auto"/>
        <w:rPr>
          <w:highlight w:val="none"/>
        </w:rPr>
      </w:pPr>
      <w:r>
        <w:rPr>
          <w:rFonts w:hint="eastAsia"/>
          <w:highlight w:val="none"/>
        </w:rPr>
        <w:t>2、《中华人民共和国计算机信息系统安全保护条例》（国务院 147 号令）；</w:t>
      </w:r>
    </w:p>
    <w:p w14:paraId="38E07C72">
      <w:pPr>
        <w:spacing w:line="360" w:lineRule="auto"/>
        <w:rPr>
          <w:highlight w:val="none"/>
        </w:rPr>
      </w:pPr>
      <w:r>
        <w:rPr>
          <w:rFonts w:hint="eastAsia"/>
          <w:highlight w:val="none"/>
        </w:rPr>
        <w:t>3、《国家信息化领导小组关于加强信息安全保障工作的意见》（中办发[2003]27号）；</w:t>
      </w:r>
    </w:p>
    <w:p w14:paraId="1712F077">
      <w:pPr>
        <w:spacing w:line="360" w:lineRule="auto"/>
        <w:rPr>
          <w:highlight w:val="none"/>
        </w:rPr>
      </w:pPr>
      <w:r>
        <w:rPr>
          <w:rFonts w:hint="eastAsia"/>
          <w:highlight w:val="none"/>
        </w:rPr>
        <w:t>4、《中共中央办公厅国务院办公厅转发&lt;国家信息化领导小组关于加强信息处理安全保障工作的意见&gt;的通知》（中办发[2003]27 号）；</w:t>
      </w:r>
    </w:p>
    <w:p w14:paraId="4C9FD0E8">
      <w:pPr>
        <w:spacing w:line="360" w:lineRule="auto"/>
        <w:rPr>
          <w:highlight w:val="none"/>
        </w:rPr>
      </w:pPr>
      <w:r>
        <w:rPr>
          <w:rFonts w:hint="eastAsia"/>
          <w:highlight w:val="none"/>
        </w:rPr>
        <w:t>5、《关于印发&lt;关于信息安全等级保护工作的实施意见&gt;的通知》（公通字[2004]66号文）；</w:t>
      </w:r>
    </w:p>
    <w:p w14:paraId="2A1E3FA8">
      <w:pPr>
        <w:spacing w:line="360" w:lineRule="auto"/>
        <w:rPr>
          <w:highlight w:val="none"/>
        </w:rPr>
      </w:pPr>
      <w:r>
        <w:rPr>
          <w:rFonts w:hint="eastAsia"/>
          <w:highlight w:val="none"/>
        </w:rPr>
        <w:t>6、《关于印发&lt;信息安全等级保护管理办法&gt;的通知》（公通字[2007]43 号文）；</w:t>
      </w:r>
    </w:p>
    <w:p w14:paraId="657CCEAB">
      <w:pPr>
        <w:spacing w:line="360" w:lineRule="auto"/>
        <w:rPr>
          <w:highlight w:val="none"/>
        </w:rPr>
      </w:pPr>
      <w:r>
        <w:rPr>
          <w:rFonts w:hint="eastAsia"/>
          <w:highlight w:val="none"/>
        </w:rPr>
        <w:t>7、《关于开展全国重要信息系统安全等级保护定级工作的通知》（公信安[2007]861号文）；</w:t>
      </w:r>
    </w:p>
    <w:p w14:paraId="001170A2">
      <w:pPr>
        <w:spacing w:line="360" w:lineRule="auto"/>
        <w:outlineLvl w:val="1"/>
        <w:rPr>
          <w:highlight w:val="none"/>
        </w:rPr>
      </w:pPr>
      <w:r>
        <w:rPr>
          <w:rFonts w:hint="eastAsia"/>
          <w:highlight w:val="none"/>
        </w:rPr>
        <w:t xml:space="preserve">（二）技术标准： </w:t>
      </w:r>
    </w:p>
    <w:p w14:paraId="381AA9A7">
      <w:pPr>
        <w:spacing w:line="360" w:lineRule="auto"/>
        <w:outlineLvl w:val="2"/>
        <w:rPr>
          <w:highlight w:val="none"/>
        </w:rPr>
      </w:pPr>
      <w:r>
        <w:rPr>
          <w:rFonts w:hint="eastAsia"/>
          <w:highlight w:val="none"/>
        </w:rPr>
        <w:t>1、《计算机信息系统安全保护等级划分准则》</w:t>
      </w:r>
    </w:p>
    <w:p w14:paraId="07F6450B">
      <w:pPr>
        <w:spacing w:line="360" w:lineRule="auto"/>
        <w:rPr>
          <w:rFonts w:hint="eastAsia"/>
          <w:highlight w:val="none"/>
        </w:rPr>
      </w:pPr>
      <w:r>
        <w:rPr>
          <w:rFonts w:hint="eastAsia"/>
          <w:highlight w:val="none"/>
        </w:rPr>
        <w:t>2、《信息安全技术 网络安全等级保护基本要求》（GB/T 22239-2019）</w:t>
      </w:r>
    </w:p>
    <w:p w14:paraId="6336CEBE">
      <w:pPr>
        <w:spacing w:line="360" w:lineRule="auto"/>
        <w:rPr>
          <w:rFonts w:hint="eastAsia" w:eastAsiaTheme="minorEastAsia"/>
          <w:highlight w:val="none"/>
          <w:lang w:eastAsia="zh-CN"/>
        </w:rPr>
      </w:pPr>
      <w:r>
        <w:rPr>
          <w:rFonts w:hint="eastAsia"/>
          <w:highlight w:val="none"/>
        </w:rPr>
        <w:t>3、</w:t>
      </w:r>
      <w:r>
        <w:rPr>
          <w:rFonts w:hint="eastAsia"/>
          <w:highlight w:val="none"/>
          <w:lang w:eastAsia="zh-CN"/>
        </w:rPr>
        <w:t>《</w:t>
      </w:r>
      <w:r>
        <w:rPr>
          <w:rFonts w:hint="eastAsia"/>
          <w:highlight w:val="none"/>
          <w:lang w:val="en-US" w:eastAsia="zh-CN"/>
        </w:rPr>
        <w:t>信息安全技术 网络安全等级保护测评要求</w:t>
      </w:r>
      <w:r>
        <w:rPr>
          <w:rFonts w:hint="eastAsia"/>
          <w:highlight w:val="none"/>
          <w:lang w:eastAsia="zh-CN"/>
        </w:rPr>
        <w:t>》</w:t>
      </w:r>
      <w:r>
        <w:rPr>
          <w:rFonts w:hint="eastAsia"/>
          <w:highlight w:val="none"/>
        </w:rPr>
        <w:t>（GB/T 2</w:t>
      </w:r>
      <w:r>
        <w:rPr>
          <w:rFonts w:hint="eastAsia"/>
          <w:highlight w:val="none"/>
          <w:lang w:val="en-US" w:eastAsia="zh-CN"/>
        </w:rPr>
        <w:t>8448</w:t>
      </w:r>
      <w:r>
        <w:rPr>
          <w:rFonts w:hint="eastAsia"/>
          <w:highlight w:val="none"/>
        </w:rPr>
        <w:t>-2019）</w:t>
      </w:r>
    </w:p>
    <w:p w14:paraId="6AB6A172">
      <w:pPr>
        <w:spacing w:line="360" w:lineRule="auto"/>
        <w:rPr>
          <w:highlight w:val="none"/>
        </w:rPr>
      </w:pPr>
      <w:r>
        <w:rPr>
          <w:rFonts w:hint="eastAsia"/>
          <w:highlight w:val="none"/>
          <w:lang w:val="en-US" w:eastAsia="zh-CN"/>
        </w:rPr>
        <w:t>4、</w:t>
      </w:r>
      <w:r>
        <w:rPr>
          <w:rFonts w:hint="eastAsia"/>
          <w:highlight w:val="none"/>
        </w:rPr>
        <w:t>《信息安全技术 网络安全等级保护定级指南》（GB/T 22240-2020）</w:t>
      </w:r>
    </w:p>
    <w:p w14:paraId="7B5C8606">
      <w:pPr>
        <w:spacing w:line="360" w:lineRule="auto"/>
        <w:rPr>
          <w:highlight w:val="none"/>
        </w:rPr>
      </w:pPr>
      <w:r>
        <w:rPr>
          <w:rFonts w:hint="eastAsia"/>
          <w:highlight w:val="none"/>
          <w:lang w:val="en-US" w:eastAsia="zh-CN"/>
        </w:rPr>
        <w:t>5</w:t>
      </w:r>
      <w:r>
        <w:rPr>
          <w:rFonts w:hint="eastAsia"/>
          <w:highlight w:val="none"/>
        </w:rPr>
        <w:t>、《信息安全技术 网络安全等级保护安全设计技术要求》（GB/T 25070-2019）</w:t>
      </w:r>
    </w:p>
    <w:p w14:paraId="278E9ECD">
      <w:pPr>
        <w:spacing w:line="360" w:lineRule="auto"/>
        <w:rPr>
          <w:highlight w:val="none"/>
        </w:rPr>
      </w:pPr>
      <w:r>
        <w:rPr>
          <w:rFonts w:hint="eastAsia"/>
          <w:highlight w:val="none"/>
          <w:lang w:val="en-US" w:eastAsia="zh-CN"/>
        </w:rPr>
        <w:t>6</w:t>
      </w:r>
      <w:r>
        <w:rPr>
          <w:rFonts w:hint="eastAsia"/>
          <w:highlight w:val="none"/>
        </w:rPr>
        <w:t>、《信息安全技术 网络安全等级保护实施指南》（GB/T 25058-2019）</w:t>
      </w:r>
    </w:p>
    <w:p w14:paraId="256ED373">
      <w:pPr>
        <w:spacing w:line="360" w:lineRule="auto"/>
        <w:rPr>
          <w:highlight w:val="none"/>
        </w:rPr>
      </w:pPr>
      <w:r>
        <w:rPr>
          <w:rFonts w:hint="eastAsia"/>
          <w:highlight w:val="none"/>
          <w:lang w:val="en-US" w:eastAsia="zh-CN"/>
        </w:rPr>
        <w:t>7</w:t>
      </w:r>
      <w:r>
        <w:rPr>
          <w:rFonts w:hint="eastAsia"/>
          <w:highlight w:val="none"/>
        </w:rPr>
        <w:t>、《信息安全技术 操作系统安全技术要求》（GB/T 20272-2019）</w:t>
      </w:r>
    </w:p>
    <w:p w14:paraId="27B2A65D">
      <w:pPr>
        <w:spacing w:line="360" w:lineRule="auto"/>
        <w:rPr>
          <w:highlight w:val="none"/>
        </w:rPr>
      </w:pPr>
      <w:r>
        <w:rPr>
          <w:rFonts w:hint="eastAsia"/>
          <w:highlight w:val="none"/>
          <w:lang w:val="en-US" w:eastAsia="zh-CN"/>
        </w:rPr>
        <w:t>8</w:t>
      </w:r>
      <w:r>
        <w:rPr>
          <w:rFonts w:hint="eastAsia"/>
          <w:highlight w:val="none"/>
        </w:rPr>
        <w:t>、《信息安全技术 数据库管理系统安全技术要求》（GB/T 20273-2019）</w:t>
      </w:r>
    </w:p>
    <w:p w14:paraId="0BA5117C">
      <w:pPr>
        <w:spacing w:line="360" w:lineRule="auto"/>
        <w:outlineLvl w:val="0"/>
        <w:rPr>
          <w:b/>
          <w:bCs/>
          <w:highlight w:val="none"/>
        </w:rPr>
      </w:pPr>
      <w:r>
        <w:rPr>
          <w:rFonts w:hint="eastAsia"/>
          <w:b/>
          <w:bCs/>
          <w:highlight w:val="none"/>
        </w:rPr>
        <w:t xml:space="preserve">三、项目内容 </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5"/>
        <w:gridCol w:w="1935"/>
        <w:gridCol w:w="918"/>
        <w:gridCol w:w="875"/>
        <w:gridCol w:w="1275"/>
        <w:gridCol w:w="2268"/>
      </w:tblGrid>
      <w:tr w14:paraId="0A9F43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000000" w:sz="4" w:space="0"/>
              <w:left w:val="single" w:color="000000" w:sz="4" w:space="0"/>
              <w:bottom w:val="single" w:color="000000" w:sz="4" w:space="0"/>
              <w:right w:val="single" w:color="000000" w:sz="4" w:space="0"/>
            </w:tcBorders>
          </w:tcPr>
          <w:p w14:paraId="569C7167">
            <w:pPr>
              <w:jc w:val="center"/>
              <w:rPr>
                <w:highlight w:val="none"/>
              </w:rPr>
            </w:pPr>
            <w:r>
              <w:rPr>
                <w:highlight w:val="none"/>
              </w:rPr>
              <w:t>序号</w:t>
            </w:r>
          </w:p>
        </w:tc>
        <w:tc>
          <w:tcPr>
            <w:tcW w:w="1935" w:type="dxa"/>
            <w:tcBorders>
              <w:top w:val="single" w:color="000000" w:sz="4" w:space="0"/>
              <w:left w:val="nil"/>
              <w:bottom w:val="single" w:color="000000" w:sz="4" w:space="0"/>
              <w:right w:val="single" w:color="000000" w:sz="4" w:space="0"/>
            </w:tcBorders>
          </w:tcPr>
          <w:p w14:paraId="4AB74E77">
            <w:pPr>
              <w:jc w:val="center"/>
              <w:rPr>
                <w:highlight w:val="none"/>
              </w:rPr>
            </w:pPr>
            <w:r>
              <w:rPr>
                <w:highlight w:val="none"/>
              </w:rPr>
              <w:t>服务内容</w:t>
            </w:r>
          </w:p>
        </w:tc>
        <w:tc>
          <w:tcPr>
            <w:tcW w:w="918" w:type="dxa"/>
            <w:tcBorders>
              <w:top w:val="single" w:color="000000" w:sz="4" w:space="0"/>
              <w:left w:val="nil"/>
              <w:bottom w:val="single" w:color="000000" w:sz="4" w:space="0"/>
              <w:right w:val="single" w:color="000000" w:sz="4" w:space="0"/>
            </w:tcBorders>
          </w:tcPr>
          <w:p w14:paraId="754A0118">
            <w:pPr>
              <w:jc w:val="center"/>
              <w:rPr>
                <w:highlight w:val="none"/>
              </w:rPr>
            </w:pPr>
            <w:r>
              <w:rPr>
                <w:highlight w:val="none"/>
              </w:rPr>
              <w:t>单位</w:t>
            </w:r>
          </w:p>
        </w:tc>
        <w:tc>
          <w:tcPr>
            <w:tcW w:w="875" w:type="dxa"/>
            <w:tcBorders>
              <w:top w:val="single" w:color="000000" w:sz="4" w:space="0"/>
              <w:left w:val="nil"/>
              <w:bottom w:val="single" w:color="000000" w:sz="4" w:space="0"/>
              <w:right w:val="single" w:color="000000" w:sz="4" w:space="0"/>
            </w:tcBorders>
          </w:tcPr>
          <w:p w14:paraId="3318FC11">
            <w:pPr>
              <w:jc w:val="center"/>
              <w:rPr>
                <w:highlight w:val="none"/>
              </w:rPr>
            </w:pPr>
            <w:r>
              <w:rPr>
                <w:highlight w:val="none"/>
              </w:rPr>
              <w:t>数量</w:t>
            </w:r>
          </w:p>
        </w:tc>
        <w:tc>
          <w:tcPr>
            <w:tcW w:w="1275" w:type="dxa"/>
            <w:tcBorders>
              <w:top w:val="single" w:color="000000" w:sz="4" w:space="0"/>
              <w:left w:val="nil"/>
              <w:bottom w:val="single" w:color="000000" w:sz="4" w:space="0"/>
              <w:right w:val="single" w:color="000000" w:sz="4" w:space="0"/>
            </w:tcBorders>
          </w:tcPr>
          <w:p w14:paraId="608AE5E0">
            <w:pPr>
              <w:jc w:val="center"/>
              <w:rPr>
                <w:rFonts w:hint="eastAsia" w:eastAsiaTheme="minorEastAsia"/>
                <w:highlight w:val="none"/>
                <w:lang w:eastAsia="zh-CN"/>
              </w:rPr>
            </w:pPr>
            <w:r>
              <w:rPr>
                <w:rFonts w:hint="eastAsia"/>
                <w:highlight w:val="none"/>
                <w:lang w:eastAsia="zh-CN"/>
              </w:rPr>
              <w:t>预算价格</w:t>
            </w:r>
          </w:p>
        </w:tc>
        <w:tc>
          <w:tcPr>
            <w:tcW w:w="2268" w:type="dxa"/>
            <w:tcBorders>
              <w:top w:val="single" w:color="000000" w:sz="4" w:space="0"/>
              <w:left w:val="nil"/>
              <w:bottom w:val="single" w:color="000000" w:sz="4" w:space="0"/>
              <w:right w:val="single" w:color="000000" w:sz="4" w:space="0"/>
            </w:tcBorders>
          </w:tcPr>
          <w:p w14:paraId="53714E38">
            <w:pPr>
              <w:jc w:val="center"/>
              <w:rPr>
                <w:rFonts w:hint="eastAsia"/>
                <w:highlight w:val="none"/>
                <w:lang w:eastAsia="zh-CN"/>
              </w:rPr>
            </w:pPr>
            <w:r>
              <w:rPr>
                <w:rFonts w:hint="eastAsia"/>
                <w:highlight w:val="none"/>
                <w:lang w:eastAsia="zh-CN"/>
              </w:rPr>
              <w:t>备注</w:t>
            </w:r>
          </w:p>
        </w:tc>
      </w:tr>
      <w:tr w14:paraId="2E486A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Pr>
          <w:p w14:paraId="140683BB">
            <w:pPr>
              <w:jc w:val="center"/>
              <w:rPr>
                <w:highlight w:val="none"/>
              </w:rPr>
            </w:pPr>
            <w:r>
              <w:rPr>
                <w:rFonts w:hint="eastAsia"/>
                <w:highlight w:val="none"/>
              </w:rPr>
              <w:t>1</w:t>
            </w:r>
          </w:p>
        </w:tc>
        <w:tc>
          <w:tcPr>
            <w:tcW w:w="1935" w:type="dxa"/>
            <w:tcBorders>
              <w:top w:val="nil"/>
              <w:left w:val="nil"/>
              <w:bottom w:val="single" w:color="000000" w:sz="4" w:space="0"/>
              <w:right w:val="single" w:color="000000" w:sz="4" w:space="0"/>
            </w:tcBorders>
          </w:tcPr>
          <w:p w14:paraId="58F854D4">
            <w:pPr>
              <w:jc w:val="left"/>
              <w:rPr>
                <w:highlight w:val="none"/>
              </w:rPr>
            </w:pPr>
            <w:r>
              <w:rPr>
                <w:rFonts w:hint="eastAsia"/>
                <w:highlight w:val="none"/>
              </w:rPr>
              <w:t>等级保护测评服务</w:t>
            </w:r>
          </w:p>
        </w:tc>
        <w:tc>
          <w:tcPr>
            <w:tcW w:w="918" w:type="dxa"/>
            <w:tcBorders>
              <w:top w:val="nil"/>
              <w:left w:val="nil"/>
              <w:bottom w:val="single" w:color="000000" w:sz="4" w:space="0"/>
              <w:right w:val="single" w:color="000000" w:sz="4" w:space="0"/>
            </w:tcBorders>
          </w:tcPr>
          <w:p w14:paraId="49DB3630">
            <w:pPr>
              <w:jc w:val="center"/>
              <w:rPr>
                <w:highlight w:val="none"/>
              </w:rPr>
            </w:pPr>
            <w:r>
              <w:rPr>
                <w:highlight w:val="none"/>
              </w:rPr>
              <w:t>项</w:t>
            </w:r>
          </w:p>
        </w:tc>
        <w:tc>
          <w:tcPr>
            <w:tcW w:w="875" w:type="dxa"/>
            <w:tcBorders>
              <w:top w:val="nil"/>
              <w:left w:val="nil"/>
              <w:bottom w:val="single" w:color="000000" w:sz="4" w:space="0"/>
              <w:right w:val="single" w:color="000000" w:sz="4" w:space="0"/>
            </w:tcBorders>
          </w:tcPr>
          <w:p w14:paraId="79BA9BDC">
            <w:pPr>
              <w:jc w:val="center"/>
              <w:rPr>
                <w:rFonts w:hint="eastAsia" w:eastAsiaTheme="minorEastAsia"/>
                <w:highlight w:val="none"/>
                <w:lang w:eastAsia="zh-CN"/>
              </w:rPr>
            </w:pPr>
            <w:r>
              <w:rPr>
                <w:rFonts w:hint="eastAsia"/>
                <w:highlight w:val="none"/>
                <w:lang w:val="en-US" w:eastAsia="zh-CN"/>
              </w:rPr>
              <w:t>2年</w:t>
            </w:r>
          </w:p>
        </w:tc>
        <w:tc>
          <w:tcPr>
            <w:tcW w:w="1275" w:type="dxa"/>
            <w:tcBorders>
              <w:top w:val="nil"/>
              <w:left w:val="nil"/>
              <w:bottom w:val="single" w:color="000000" w:sz="4" w:space="0"/>
              <w:right w:val="single" w:color="000000" w:sz="4" w:space="0"/>
            </w:tcBorders>
          </w:tcPr>
          <w:p w14:paraId="06FA519E">
            <w:pPr>
              <w:jc w:val="center"/>
              <w:rPr>
                <w:highlight w:val="none"/>
              </w:rPr>
            </w:pPr>
            <w:r>
              <w:rPr>
                <w:rFonts w:hint="eastAsia"/>
                <w:highlight w:val="none"/>
              </w:rPr>
              <w:t>XXX</w:t>
            </w:r>
          </w:p>
        </w:tc>
        <w:tc>
          <w:tcPr>
            <w:tcW w:w="2268" w:type="dxa"/>
            <w:tcBorders>
              <w:top w:val="nil"/>
              <w:left w:val="nil"/>
              <w:bottom w:val="single" w:color="000000" w:sz="4" w:space="0"/>
              <w:right w:val="single" w:color="000000" w:sz="4" w:space="0"/>
            </w:tcBorders>
          </w:tcPr>
          <w:p w14:paraId="6A4A4393">
            <w:pPr>
              <w:jc w:val="center"/>
              <w:rPr>
                <w:rFonts w:hint="eastAsia" w:eastAsiaTheme="minorEastAsia"/>
                <w:highlight w:val="none"/>
                <w:lang w:val="en-US" w:eastAsia="zh-CN"/>
              </w:rPr>
            </w:pPr>
            <w:r>
              <w:rPr>
                <w:rFonts w:hint="eastAsia"/>
                <w:highlight w:val="none"/>
                <w:lang w:val="en-US" w:eastAsia="zh-CN"/>
              </w:rPr>
              <w:t>每年做一次测评，出具一份报告</w:t>
            </w:r>
          </w:p>
        </w:tc>
      </w:tr>
    </w:tbl>
    <w:p w14:paraId="5C03E580">
      <w:pPr>
        <w:rPr>
          <w:highlight w:val="none"/>
        </w:rPr>
      </w:pPr>
    </w:p>
    <w:p w14:paraId="1C8857B0">
      <w:pPr>
        <w:spacing w:line="360" w:lineRule="auto"/>
        <w:outlineLvl w:val="0"/>
        <w:rPr>
          <w:rFonts w:ascii="宋体" w:hAnsi="宋体" w:eastAsia="宋体" w:cs="Times New Roman"/>
          <w:b/>
          <w:bCs/>
          <w:szCs w:val="22"/>
          <w:highlight w:val="none"/>
          <w14:ligatures w14:val="standardContextual"/>
        </w:rPr>
      </w:pPr>
      <w:bookmarkStart w:id="0" w:name="_Hlk170996640"/>
      <w:r>
        <w:rPr>
          <w:rFonts w:hint="eastAsia" w:ascii="宋体" w:hAnsi="宋体" w:eastAsia="宋体" w:cs="Times New Roman"/>
          <w:b/>
          <w:bCs/>
          <w:szCs w:val="22"/>
          <w:highlight w:val="none"/>
          <w14:ligatures w14:val="standardContextual"/>
        </w:rPr>
        <w:t>四、等级保护测评流程</w:t>
      </w:r>
      <w:r>
        <w:rPr>
          <w:rFonts w:ascii="宋体" w:hAnsi="宋体" w:eastAsia="宋体" w:cs="Times New Roman"/>
          <w:b/>
          <w:bCs/>
          <w:szCs w:val="22"/>
          <w:highlight w:val="none"/>
          <w14:ligatures w14:val="standardContextual"/>
        </w:rPr>
        <w:t xml:space="preserve"> </w:t>
      </w:r>
    </w:p>
    <w:p w14:paraId="3598BBE7">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为</w:t>
      </w:r>
      <w:r>
        <w:rPr>
          <w:rFonts w:hint="eastAsia"/>
          <w:highlight w:val="none"/>
        </w:rPr>
        <w:t>化州市人民医院</w:t>
      </w:r>
      <w:r>
        <w:rPr>
          <w:rFonts w:hint="eastAsia" w:ascii="宋体" w:hAnsi="宋体" w:eastAsia="宋体" w:cs="Times New Roman"/>
          <w:szCs w:val="22"/>
          <w:highlight w:val="none"/>
          <w14:ligatures w14:val="standardContextual"/>
        </w:rPr>
        <w:t>完成等保测评资产收集、资料准备、项目整体协调等工作，等级保护测评流程分为等级保护测评差距分析阶段、等级保护安</w:t>
      </w:r>
      <w:r>
        <w:rPr>
          <w:rFonts w:hint="eastAsia" w:ascii="宋体" w:hAnsi="宋体" w:eastAsia="宋体" w:cs="Times New Roman"/>
          <w:szCs w:val="22"/>
          <w:highlight w:val="none"/>
          <w:lang w:eastAsia="zh-CN"/>
          <w14:ligatures w14:val="standardContextual"/>
        </w:rPr>
        <w:t>全</w:t>
      </w:r>
      <w:r>
        <w:rPr>
          <w:rFonts w:hint="eastAsia" w:ascii="宋体" w:hAnsi="宋体" w:eastAsia="宋体" w:cs="Times New Roman"/>
          <w:szCs w:val="22"/>
          <w:highlight w:val="none"/>
          <w14:ligatures w14:val="standardContextual"/>
        </w:rPr>
        <w:t>指导整改阶段、等级保护验收测评</w:t>
      </w:r>
      <w:r>
        <w:rPr>
          <w:rFonts w:ascii="宋体" w:hAnsi="宋体" w:eastAsia="宋体" w:cs="Times New Roman"/>
          <w:szCs w:val="22"/>
          <w:highlight w:val="none"/>
          <w14:ligatures w14:val="standardContextual"/>
        </w:rPr>
        <w:t>阶段</w:t>
      </w:r>
      <w:r>
        <w:rPr>
          <w:rFonts w:hint="eastAsia" w:ascii="宋体" w:hAnsi="宋体" w:eastAsia="宋体" w:cs="Times New Roman"/>
          <w:szCs w:val="22"/>
          <w:highlight w:val="none"/>
          <w14:ligatures w14:val="standardContextual"/>
        </w:rPr>
        <w:t>、网监部门审核阶段</w:t>
      </w:r>
      <w:r>
        <w:rPr>
          <w:rFonts w:ascii="宋体" w:hAnsi="宋体" w:eastAsia="宋体" w:cs="Times New Roman"/>
          <w:szCs w:val="22"/>
          <w:highlight w:val="none"/>
          <w14:ligatures w14:val="standardContextual"/>
        </w:rPr>
        <w:t>共</w:t>
      </w:r>
      <w:r>
        <w:rPr>
          <w:rFonts w:hint="eastAsia" w:ascii="宋体" w:hAnsi="宋体" w:eastAsia="宋体" w:cs="Times New Roman"/>
          <w:szCs w:val="22"/>
          <w:highlight w:val="none"/>
          <w:lang w:eastAsia="zh-CN"/>
          <w14:ligatures w14:val="standardContextual"/>
        </w:rPr>
        <w:t>四</w:t>
      </w:r>
      <w:r>
        <w:rPr>
          <w:rFonts w:ascii="宋体" w:hAnsi="宋体" w:eastAsia="宋体" w:cs="Times New Roman"/>
          <w:szCs w:val="22"/>
          <w:highlight w:val="none"/>
          <w14:ligatures w14:val="standardContextual"/>
        </w:rPr>
        <w:t>个阶段。</w:t>
      </w:r>
    </w:p>
    <w:p w14:paraId="3571D82B">
      <w:pPr>
        <w:spacing w:line="360" w:lineRule="auto"/>
        <w:outlineLvl w:val="1"/>
        <w:rPr>
          <w:rFonts w:ascii="宋体" w:hAnsi="宋体" w:eastAsia="宋体" w:cs="Times New Roman"/>
          <w:b/>
          <w:bCs/>
          <w:szCs w:val="22"/>
          <w:highlight w:val="none"/>
          <w14:ligatures w14:val="standardContextual"/>
        </w:rPr>
      </w:pPr>
      <w:r>
        <w:rPr>
          <w:rFonts w:hint="eastAsia" w:ascii="宋体" w:hAnsi="宋体" w:eastAsia="宋体" w:cs="Times New Roman"/>
          <w:b/>
          <w:bCs/>
          <w:szCs w:val="22"/>
          <w:highlight w:val="none"/>
          <w:lang w:val="en-US" w:eastAsia="zh-CN"/>
          <w14:ligatures w14:val="standardContextual"/>
        </w:rPr>
        <w:t>1、</w:t>
      </w:r>
      <w:r>
        <w:rPr>
          <w:rFonts w:hint="eastAsia" w:ascii="宋体" w:hAnsi="宋体" w:eastAsia="宋体" w:cs="Times New Roman"/>
          <w:b/>
          <w:bCs/>
          <w:szCs w:val="22"/>
          <w:highlight w:val="none"/>
          <w14:ligatures w14:val="standardContextual"/>
        </w:rPr>
        <w:t>等级保护差距分析服务</w:t>
      </w:r>
    </w:p>
    <w:p w14:paraId="6B7EC7A7">
      <w:pPr>
        <w:spacing w:line="360" w:lineRule="auto"/>
        <w:ind w:firstLine="420" w:firstLineChars="200"/>
        <w:rPr>
          <w:rFonts w:ascii="宋体" w:hAnsi="宋体" w:eastAsia="宋体" w:cs="Times New Roman"/>
          <w:b/>
          <w:bCs/>
          <w:szCs w:val="22"/>
          <w:highlight w:val="none"/>
          <w14:ligatures w14:val="standardContextual"/>
        </w:rPr>
      </w:pPr>
      <w:r>
        <w:rPr>
          <w:rFonts w:ascii="宋体" w:hAnsi="宋体" w:eastAsia="宋体" w:cs="Times New Roman"/>
          <w:szCs w:val="22"/>
          <w:highlight w:val="none"/>
          <w14:ligatures w14:val="standardContextual"/>
        </w:rPr>
        <w:t>按照等保2.0要求，从安全技术（安全物理环境、安全通信网络、安全区域边界、安全计算环境、安全管理中心）和安全管理（安全管理制度、安全管理机构、安全管理人员、安全建设管理、安全运维管理）等方面进行差距分析，</w:t>
      </w:r>
      <w:r>
        <w:rPr>
          <w:rFonts w:hint="eastAsia" w:ascii="宋体" w:hAnsi="宋体" w:eastAsia="宋体" w:cs="Times New Roman"/>
          <w:szCs w:val="22"/>
          <w:highlight w:val="none"/>
          <w14:ligatures w14:val="standardContextual"/>
        </w:rPr>
        <w:t>并</w:t>
      </w:r>
      <w:r>
        <w:rPr>
          <w:rFonts w:hint="eastAsia" w:ascii="宋体" w:hAnsi="宋体" w:eastAsia="宋体" w:cs="Times New Roman"/>
          <w:szCs w:val="22"/>
          <w:highlight w:val="none"/>
          <w:lang w:eastAsia="zh-CN"/>
          <w14:ligatures w14:val="standardContextual"/>
        </w:rPr>
        <w:t>出具</w:t>
      </w:r>
      <w:r>
        <w:rPr>
          <w:rFonts w:hint="eastAsia" w:ascii="宋体" w:hAnsi="宋体" w:eastAsia="宋体" w:cs="Times New Roman"/>
          <w:szCs w:val="22"/>
          <w:highlight w:val="none"/>
          <w14:ligatures w14:val="standardContextual"/>
        </w:rPr>
        <w:t>《网络安全等级保护测评整改问题清单》。</w:t>
      </w:r>
    </w:p>
    <w:p w14:paraId="79BE504B">
      <w:pPr>
        <w:spacing w:line="360" w:lineRule="auto"/>
        <w:outlineLvl w:val="1"/>
        <w:rPr>
          <w:rFonts w:ascii="宋体" w:hAnsi="宋体" w:eastAsia="宋体" w:cs="Times New Roman"/>
          <w:b/>
          <w:bCs/>
          <w:szCs w:val="22"/>
          <w:highlight w:val="none"/>
          <w14:ligatures w14:val="standardContextual"/>
        </w:rPr>
      </w:pPr>
      <w:r>
        <w:rPr>
          <w:rFonts w:hint="eastAsia" w:ascii="宋体" w:hAnsi="宋体" w:eastAsia="宋体" w:cs="Times New Roman"/>
          <w:b/>
          <w:bCs/>
          <w:szCs w:val="22"/>
          <w:highlight w:val="none"/>
          <w:lang w:val="en-US" w:eastAsia="zh-CN"/>
          <w14:ligatures w14:val="standardContextual"/>
        </w:rPr>
        <w:t>2、</w:t>
      </w:r>
      <w:r>
        <w:rPr>
          <w:rFonts w:ascii="宋体" w:hAnsi="宋体" w:eastAsia="宋体" w:cs="Times New Roman"/>
          <w:b/>
          <w:bCs/>
          <w:szCs w:val="22"/>
          <w:highlight w:val="none"/>
          <w14:ligatures w14:val="standardContextual"/>
        </w:rPr>
        <w:t>等级保护指导</w:t>
      </w:r>
      <w:r>
        <w:rPr>
          <w:rFonts w:hint="eastAsia" w:ascii="宋体" w:hAnsi="宋体" w:eastAsia="宋体" w:cs="Times New Roman"/>
          <w:b/>
          <w:bCs/>
          <w:szCs w:val="22"/>
          <w:highlight w:val="none"/>
          <w14:ligatures w14:val="standardContextual"/>
        </w:rPr>
        <w:t>安全</w:t>
      </w:r>
      <w:r>
        <w:rPr>
          <w:rFonts w:ascii="宋体" w:hAnsi="宋体" w:eastAsia="宋体" w:cs="Times New Roman"/>
          <w:b/>
          <w:bCs/>
          <w:szCs w:val="22"/>
          <w:highlight w:val="none"/>
          <w14:ligatures w14:val="standardContextual"/>
        </w:rPr>
        <w:t>整改服务</w:t>
      </w:r>
    </w:p>
    <w:p w14:paraId="151B4C8D">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根据对目标系统进行差距分析后提交的《</w:t>
      </w:r>
      <w:r>
        <w:rPr>
          <w:rFonts w:hint="eastAsia"/>
          <w:highlight w:val="none"/>
        </w:rPr>
        <w:t>网络安全等级保护测评</w:t>
      </w:r>
      <w:r>
        <w:rPr>
          <w:rFonts w:hint="eastAsia" w:ascii="宋体" w:hAnsi="宋体" w:eastAsia="宋体" w:cs="Times New Roman"/>
          <w:szCs w:val="22"/>
          <w:highlight w:val="none"/>
          <w14:ligatures w14:val="standardContextual"/>
        </w:rPr>
        <w:t>整改问题清单》，结合《</w:t>
      </w:r>
      <w:r>
        <w:rPr>
          <w:rFonts w:hint="eastAsia"/>
          <w:highlight w:val="none"/>
        </w:rPr>
        <w:t>网络安全等级保护测评</w:t>
      </w:r>
      <w:r>
        <w:rPr>
          <w:rFonts w:hint="eastAsia" w:ascii="宋体" w:hAnsi="宋体" w:eastAsia="宋体" w:cs="Times New Roman"/>
          <w:szCs w:val="22"/>
          <w:highlight w:val="none"/>
          <w14:ligatures w14:val="standardContextual"/>
        </w:rPr>
        <w:t>整改问题清单》的要求协助</w:t>
      </w:r>
      <w:r>
        <w:rPr>
          <w:rFonts w:hint="eastAsia"/>
          <w:highlight w:val="none"/>
        </w:rPr>
        <w:t>化州市人民医院</w:t>
      </w:r>
      <w:r>
        <w:rPr>
          <w:rFonts w:hint="eastAsia" w:ascii="宋体" w:hAnsi="宋体" w:eastAsia="宋体" w:cs="Times New Roman"/>
          <w:szCs w:val="22"/>
          <w:highlight w:val="none"/>
          <w14:ligatures w14:val="standardContextual"/>
        </w:rPr>
        <w:t>开展全面的整改协调工作，完成网络安全等级保护测评。</w:t>
      </w:r>
    </w:p>
    <w:p w14:paraId="53548813">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指导工作包含对应用开发层面、系统网络层面设备及主机基线等各层面的高、中风险提供整改意见，协助系统开发商最终实现业务系统层面符合等级保护</w:t>
      </w:r>
      <w:r>
        <w:rPr>
          <w:rFonts w:hint="eastAsia" w:ascii="宋体" w:hAnsi="宋体" w:eastAsia="宋体" w:cs="Times New Roman"/>
          <w:szCs w:val="22"/>
          <w:highlight w:val="none"/>
          <w14:ligatures w14:val="standardContextual"/>
        </w:rPr>
        <w:t>三级</w:t>
      </w:r>
      <w:r>
        <w:rPr>
          <w:rFonts w:hint="eastAsia" w:ascii="宋体" w:hAnsi="宋体" w:eastAsia="宋体" w:cs="Times New Roman"/>
          <w:szCs w:val="22"/>
          <w:highlight w:val="none"/>
          <w14:ligatures w14:val="standardContextual"/>
        </w:rPr>
        <w:t>要求。</w:t>
      </w:r>
    </w:p>
    <w:p w14:paraId="6CF52C59">
      <w:pPr>
        <w:spacing w:line="360" w:lineRule="auto"/>
        <w:outlineLvl w:val="2"/>
        <w:rPr>
          <w:rFonts w:ascii="宋体" w:hAnsi="宋体" w:eastAsia="宋体" w:cs="Times New Roman"/>
          <w:b/>
          <w:bCs/>
          <w:szCs w:val="22"/>
          <w:highlight w:val="none"/>
          <w14:ligatures w14:val="standardContextual"/>
        </w:rPr>
      </w:pPr>
      <w:r>
        <w:rPr>
          <w:rFonts w:hint="eastAsia" w:ascii="宋体" w:hAnsi="宋体" w:eastAsia="宋体" w:cs="Times New Roman"/>
          <w:b/>
          <w:bCs/>
          <w:szCs w:val="22"/>
          <w:highlight w:val="none"/>
          <w:lang w:val="en-US" w:eastAsia="zh-CN"/>
          <w14:ligatures w14:val="standardContextual"/>
        </w:rPr>
        <w:t>3、</w:t>
      </w:r>
      <w:r>
        <w:rPr>
          <w:rFonts w:hint="eastAsia" w:ascii="宋体" w:hAnsi="宋体" w:eastAsia="宋体" w:cs="Times New Roman"/>
          <w:b/>
          <w:bCs/>
          <w:szCs w:val="22"/>
          <w:highlight w:val="none"/>
          <w14:ligatures w14:val="standardContextual"/>
        </w:rPr>
        <w:t>等级保护验收测评服务</w:t>
      </w:r>
    </w:p>
    <w:p w14:paraId="14B33E4F">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开展验收测评，对整改和加固后的系统进行再次测评，测评通过后编写《网络安全等级测评报告》。</w:t>
      </w:r>
    </w:p>
    <w:p w14:paraId="3B6A066F">
      <w:pPr>
        <w:numPr>
          <w:ilvl w:val="0"/>
          <w:numId w:val="0"/>
        </w:numPr>
        <w:spacing w:line="360" w:lineRule="auto"/>
        <w:outlineLvl w:val="2"/>
        <w:rPr>
          <w:rFonts w:ascii="宋体" w:hAnsi="宋体" w:eastAsia="宋体" w:cs="Times New Roman"/>
          <w:b/>
          <w:bCs/>
          <w:szCs w:val="22"/>
          <w:highlight w:val="none"/>
          <w14:ligatures w14:val="standardContextual"/>
        </w:rPr>
      </w:pPr>
      <w:r>
        <w:rPr>
          <w:rFonts w:hint="eastAsia" w:ascii="宋体" w:hAnsi="宋体" w:eastAsia="宋体" w:cs="Times New Roman"/>
          <w:b/>
          <w:bCs/>
          <w:szCs w:val="22"/>
          <w:highlight w:val="none"/>
          <w:lang w:val="en-US" w:eastAsia="zh-CN"/>
          <w14:ligatures w14:val="standardContextual"/>
        </w:rPr>
        <w:t>4、</w:t>
      </w:r>
      <w:r>
        <w:rPr>
          <w:rFonts w:hint="eastAsia" w:ascii="宋体" w:hAnsi="宋体" w:eastAsia="宋体" w:cs="Times New Roman"/>
          <w:b/>
          <w:bCs/>
          <w:szCs w:val="22"/>
          <w:highlight w:val="none"/>
          <w14:ligatures w14:val="standardContextual"/>
        </w:rPr>
        <w:t>网监部门审核阶段</w:t>
      </w:r>
    </w:p>
    <w:p w14:paraId="6D85B0D4">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协助</w:t>
      </w:r>
      <w:r>
        <w:rPr>
          <w:rFonts w:hint="eastAsia"/>
          <w:highlight w:val="none"/>
        </w:rPr>
        <w:t>化州市人民医院</w:t>
      </w:r>
      <w:r>
        <w:rPr>
          <w:rFonts w:hint="eastAsia" w:ascii="宋体" w:hAnsi="宋体" w:eastAsia="宋体" w:cs="Times New Roman"/>
          <w:szCs w:val="22"/>
          <w:highlight w:val="none"/>
          <w14:ligatures w14:val="standardContextual"/>
        </w:rPr>
        <w:t>提交《网络安全等级测评报告》，并取得网监部门颁发的《信息系统定级备案证》、《网络安全等级测评报告回执》。</w:t>
      </w:r>
    </w:p>
    <w:p w14:paraId="3CDDB36C">
      <w:pPr>
        <w:spacing w:line="360" w:lineRule="auto"/>
        <w:outlineLvl w:val="0"/>
        <w:rPr>
          <w:rFonts w:ascii="宋体" w:hAnsi="宋体" w:eastAsia="宋体" w:cs="Times New Roman"/>
          <w:b/>
          <w:bCs/>
          <w:szCs w:val="22"/>
          <w:highlight w:val="none"/>
          <w14:ligatures w14:val="standardContextual"/>
        </w:rPr>
      </w:pPr>
      <w:r>
        <w:rPr>
          <w:rFonts w:hint="eastAsia" w:ascii="宋体" w:hAnsi="宋体" w:eastAsia="宋体" w:cs="Times New Roman"/>
          <w:b/>
          <w:bCs/>
          <w:szCs w:val="22"/>
          <w:highlight w:val="none"/>
          <w14:ligatures w14:val="standardContextual"/>
        </w:rPr>
        <w:t>五、等级保护测评内容要求</w:t>
      </w:r>
      <w:r>
        <w:rPr>
          <w:rFonts w:ascii="宋体" w:hAnsi="宋体" w:eastAsia="宋体" w:cs="Times New Roman"/>
          <w:b/>
          <w:bCs/>
          <w:szCs w:val="22"/>
          <w:highlight w:val="none"/>
          <w14:ligatures w14:val="standardContextual"/>
        </w:rPr>
        <w:t xml:space="preserve"> </w:t>
      </w:r>
    </w:p>
    <w:p w14:paraId="2038FA32">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根据《信息安全技术 网络安全等级保护基本要求》（GB/T 22239-2019）</w:t>
      </w:r>
      <w:r>
        <w:rPr>
          <w:rFonts w:ascii="宋体" w:hAnsi="宋体" w:eastAsia="宋体" w:cs="Times New Roman"/>
          <w:szCs w:val="22"/>
          <w:highlight w:val="none"/>
          <w14:ligatures w14:val="standardContextual"/>
        </w:rPr>
        <w:t>等标准聘请或具</w:t>
      </w:r>
      <w:r>
        <w:rPr>
          <w:rFonts w:hint="eastAsia" w:ascii="宋体" w:hAnsi="宋体" w:eastAsia="宋体" w:cs="Times New Roman"/>
          <w:szCs w:val="22"/>
          <w:highlight w:val="none"/>
          <w14:ligatures w14:val="standardContextual"/>
        </w:rPr>
        <w:t>有网络安全服务认证证书等级保护测评服务认证的机构组织开展信息系统等级保护符合性测评，衡量</w:t>
      </w:r>
      <w:r>
        <w:rPr>
          <w:rFonts w:hint="eastAsia"/>
          <w:highlight w:val="none"/>
        </w:rPr>
        <w:t>化州市人民医院</w:t>
      </w:r>
      <w:r>
        <w:rPr>
          <w:rFonts w:hint="eastAsia" w:ascii="宋体" w:hAnsi="宋体" w:eastAsia="宋体" w:cs="Times New Roman"/>
          <w:szCs w:val="22"/>
          <w:highlight w:val="none"/>
          <w14:ligatures w14:val="standardContextual"/>
        </w:rPr>
        <w:t>信息系统的安全保护管理措施和技术措施是否符合等级保护基本要求，是否具备相应的安全保护能力，如果不符合安全等级保护要求，则出具《</w:t>
      </w:r>
      <w:r>
        <w:rPr>
          <w:rFonts w:hint="eastAsia"/>
          <w:highlight w:val="none"/>
        </w:rPr>
        <w:t>网络安全等级保护测评</w:t>
      </w:r>
      <w:r>
        <w:rPr>
          <w:rFonts w:hint="eastAsia" w:ascii="宋体" w:hAnsi="宋体" w:eastAsia="宋体" w:cs="Times New Roman"/>
          <w:szCs w:val="22"/>
          <w:highlight w:val="none"/>
          <w14:ligatures w14:val="standardContextual"/>
        </w:rPr>
        <w:t>整改问题清单》。待完成整改后开展第二次测评工作。验收测评合格</w:t>
      </w:r>
      <w:r>
        <w:rPr>
          <w:rFonts w:hint="eastAsia" w:ascii="宋体" w:hAnsi="宋体" w:eastAsia="宋体" w:cs="Times New Roman"/>
          <w:szCs w:val="22"/>
          <w:highlight w:val="none"/>
          <w:lang w:eastAsia="zh-CN"/>
          <w14:ligatures w14:val="standardContextual"/>
        </w:rPr>
        <w:t>后</w:t>
      </w:r>
      <w:r>
        <w:rPr>
          <w:rFonts w:hint="eastAsia" w:ascii="宋体" w:hAnsi="宋体" w:eastAsia="宋体" w:cs="Times New Roman"/>
          <w:szCs w:val="22"/>
          <w:highlight w:val="none"/>
          <w14:ligatures w14:val="standardContextual"/>
        </w:rPr>
        <w:t>出具《信息系统网络安全等级测评报告》。</w:t>
      </w:r>
    </w:p>
    <w:p w14:paraId="44E32056">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依据信息系统的安全保护等级，通过人员访谈、文档</w:t>
      </w:r>
      <w:r>
        <w:rPr>
          <w:rFonts w:hint="eastAsia" w:ascii="宋体" w:hAnsi="宋体" w:eastAsia="宋体" w:cs="Times New Roman"/>
          <w:szCs w:val="22"/>
          <w:highlight w:val="none"/>
          <w:lang w:eastAsia="zh-CN"/>
          <w14:ligatures w14:val="standardContextual"/>
        </w:rPr>
        <w:t>审</w:t>
      </w:r>
      <w:r>
        <w:rPr>
          <w:rFonts w:hint="eastAsia" w:ascii="宋体" w:hAnsi="宋体" w:eastAsia="宋体" w:cs="Times New Roman"/>
          <w:szCs w:val="22"/>
          <w:highlight w:val="none"/>
          <w14:ligatures w14:val="standardContextual"/>
        </w:rPr>
        <w:t>查、实地察看、配置检查、工具检测等方法从安全物理环境、安全通信网络、安全区域边界、安全计算环境、安全管理中心、安全管理制度、安全管理机构、安全管理人员、安全建设管理、安全运维管理等方面，判断信息系统现有的安全保护水平与国家信息安全等级保护管理规范和技术标准要求项之间的符合情况。</w:t>
      </w:r>
    </w:p>
    <w:p w14:paraId="585C6AB8">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对信息系统进行整体、全面、公正的评估，对不符合项进行风险分析，组织专家评审，编写安全等级保护测评报告，最终完成验收测评工作，达到国家规定的信息安全要求，并完成向</w:t>
      </w:r>
      <w:r>
        <w:rPr>
          <w:rFonts w:hint="eastAsia" w:ascii="宋体" w:hAnsi="宋体" w:eastAsia="宋体" w:cs="Times New Roman"/>
          <w:szCs w:val="22"/>
          <w:highlight w:val="none"/>
          <w:lang w:eastAsia="zh-CN"/>
          <w14:ligatures w14:val="standardContextual"/>
        </w:rPr>
        <w:t>广东省公安厅</w:t>
      </w:r>
      <w:r>
        <w:rPr>
          <w:rFonts w:hint="eastAsia" w:ascii="宋体" w:hAnsi="宋体" w:eastAsia="宋体" w:cs="Times New Roman"/>
          <w:szCs w:val="22"/>
          <w:highlight w:val="none"/>
          <w14:ligatures w14:val="standardContextual"/>
        </w:rPr>
        <w:t>提交测评备案工作。</w:t>
      </w:r>
    </w:p>
    <w:p w14:paraId="6C76E8C3">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本次测评工作具体分为安全技术测评和安全管理测评两大类。安全技术测评包括：安全物理环境、安全通信网络、安全区域边界、安全计算环境、安全管理中心等五个层面上的安全控制测评；安全管理测评包括：安全管理制度、安全管理机构、安全管理人员、安全建设管理、安全运维管理等五个方面的安全控制测评。详细内容包括：</w:t>
      </w:r>
    </w:p>
    <w:p w14:paraId="28CC6B77">
      <w:pPr>
        <w:spacing w:line="360" w:lineRule="auto"/>
        <w:outlineLvl w:val="1"/>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（1）安全物理环境</w:t>
      </w:r>
    </w:p>
    <w:p w14:paraId="454379FD">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物理安全测评评测信息系统的物理安全保障情况。主要涉及对象为机房。在内容上，物理安全层面测评实施过程应涉及10个工作单元，具体工作单元包括：物理位置的选择、物理访问控制、防盗窃和防破坏、防雷击、防火、防水和防潮、防静电、温湿度控制、电力供应、电磁防护。</w:t>
      </w:r>
    </w:p>
    <w:p w14:paraId="48ABBCDF">
      <w:pPr>
        <w:spacing w:line="360" w:lineRule="auto"/>
        <w:outlineLvl w:val="1"/>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（2）安全通信网络</w:t>
      </w:r>
    </w:p>
    <w:p w14:paraId="7F79884E">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通信网络安全测评通过访谈、检查和测试的方式评测信息系统的通信网络安全保障情况。主要涉及对象为机房的核心节点网络设备、主机设备以及网络拓扑结构等三大类对象。在内容上通信网络安全层面测评过程涉及网络架构、通信传输、可信验证3个工作单元的测评。</w:t>
      </w:r>
    </w:p>
    <w:p w14:paraId="746F1B9C">
      <w:pPr>
        <w:spacing w:line="360" w:lineRule="auto"/>
        <w:outlineLvl w:val="1"/>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（3）安全区域边界</w:t>
      </w:r>
    </w:p>
    <w:p w14:paraId="65831280">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网络边界安全测评通过访谈、检查和测试的方式评测信息系统的网络边界防护保障情况。主要涉及对象为网络结构、网络边界设备、网络安全设备，安全层面测评实施过程涉及边界防护、访问控制、入侵防范、恶意代码和垃圾邮件防范、安全审计、可信验证6个工作单元的测评。</w:t>
      </w:r>
    </w:p>
    <w:p w14:paraId="7069A8D1">
      <w:pPr>
        <w:spacing w:line="360" w:lineRule="auto"/>
        <w:outlineLvl w:val="1"/>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（4）安全计算环境</w:t>
      </w:r>
    </w:p>
    <w:p w14:paraId="207E3E7B">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应用安全测评通过访谈、检查和测试的方式评测信息系统的应用安全保障情况。在内容上，安全计算环境层面测评实施过程涉及身份鉴别、访问控制、安全审计、入侵防范、恶意代码防范、可信验证、数据完整性、数据保密性、数据备份恢复、剩余信息保护、个人信息保护11个工作单元的测评。</w:t>
      </w:r>
    </w:p>
    <w:p w14:paraId="262FC588">
      <w:pPr>
        <w:spacing w:line="360" w:lineRule="auto"/>
        <w:outlineLvl w:val="1"/>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（5）安全管理中心</w:t>
      </w:r>
    </w:p>
    <w:p w14:paraId="11B9CBE0">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安全管理中心测评通过访谈和检查的方式评测信息系统的数据安全保障情况。本次测评重点检查业务信息系统的在集中管控方面的措施和保障。在内容上，安全管理中心层面测评实施过程涉及系统管理、审计管理、安全管理和集中管控4个工作单元的测评。</w:t>
      </w:r>
    </w:p>
    <w:p w14:paraId="1FCEFF35">
      <w:pPr>
        <w:spacing w:line="360" w:lineRule="auto"/>
        <w:outlineLvl w:val="1"/>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（6）安全管理制度</w:t>
      </w:r>
    </w:p>
    <w:p w14:paraId="63215BE2">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安全管理制度测评通过访谈和检查的形式评测安全管理制度的制定、发布、评审和修订等情况。主要涉及安全主管人员、安全管理人员、各类其它人员、各类管理制度、各类操作规程文件等对象。在内容上，安全管理制度测评实施过程涉及安全策略、管理制度、制定与发布、评审和修订4个工作单元的测评。</w:t>
      </w:r>
    </w:p>
    <w:p w14:paraId="11CEDFD2">
      <w:pPr>
        <w:spacing w:line="360" w:lineRule="auto"/>
        <w:outlineLvl w:val="1"/>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（7）安全管理机构</w:t>
      </w:r>
    </w:p>
    <w:p w14:paraId="486D3249">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安全管理机构测评通过访谈和检查的形式评测安全管理机构的组成情况和机构工作组织情况。主要涉及安全主管人员、安全管理人员、相关的文件资料和工作记录等对象。在内容上，安全管理机构测评实施过程涉及岗位设置、人员配备、授权和审批、沟通与合作和审核与检查5个工作单元的测评。</w:t>
      </w:r>
    </w:p>
    <w:p w14:paraId="202F00CD">
      <w:pPr>
        <w:spacing w:line="360" w:lineRule="auto"/>
        <w:outlineLvl w:val="1"/>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（8）安全人员管理</w:t>
      </w:r>
    </w:p>
    <w:p w14:paraId="463E69A0">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人员安全管理测评通过访谈和检查的形式评测机构人员安全控制方面的情况。主要涉及安全主管人员、人事管理人员、相关管理制度、相关工作记录等对象。在内容上，人员安全管理测评实施过程涉及人员录用、人员离岗、安全意识教育和培训、外部人员访问管理5个工作单元的测评。</w:t>
      </w:r>
    </w:p>
    <w:p w14:paraId="6366FEF5">
      <w:pPr>
        <w:spacing w:line="360" w:lineRule="auto"/>
        <w:outlineLvl w:val="1"/>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（9）安全建设管理</w:t>
      </w:r>
    </w:p>
    <w:p w14:paraId="014FE30F">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系统建设管理测评通过访谈和检查的形式评测系统建设管理过程中的安全控制情况。主要涉及安全主管人员、系统建设负责人、各类管理制度、操作规程文件、执行过程记录等对象。在内容上，系统建设管理测评实施过程涉及系统定级和备案、安全方案设计、产品采购和使用、自行软件开发、外包软件开发、工程实施、测试验收、系统交付、服务商选择9个工作单元的测评。</w:t>
      </w:r>
    </w:p>
    <w:p w14:paraId="70C6790F">
      <w:pPr>
        <w:spacing w:line="360" w:lineRule="auto"/>
        <w:outlineLvl w:val="1"/>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（10）安全运维管理</w:t>
      </w:r>
    </w:p>
    <w:p w14:paraId="091F20A7">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系统运维管理测评通过访谈和检查的形式评测系统运维管理过程中的安全控制情况。主要涉及安全主管人员、安全管理人员、各类运维人员、各类管理制度、操作规程文件、执行过程记录等对象。在内容上，系统运维管理测评实施过程涉及环境管理、资产管理、介质管理、设备管理、漏洞和风险管理、网络和系统安全管理、恶意代码防护管理、密码管理、变更管理、备份和恢复管理、安全事件处置、应急预案管理、外部运维管理等13个工作单元的测评。</w:t>
      </w:r>
    </w:p>
    <w:p w14:paraId="0A344A6A">
      <w:pPr>
        <w:spacing w:line="360" w:lineRule="auto"/>
        <w:outlineLvl w:val="0"/>
        <w:rPr>
          <w:rFonts w:ascii="宋体" w:hAnsi="宋体" w:eastAsia="宋体" w:cs="Times New Roman"/>
          <w:b/>
          <w:bCs/>
          <w:szCs w:val="22"/>
          <w:highlight w:val="none"/>
          <w14:ligatures w14:val="standardContextual"/>
        </w:rPr>
      </w:pPr>
      <w:r>
        <w:rPr>
          <w:rFonts w:hint="eastAsia" w:ascii="宋体" w:hAnsi="宋体" w:eastAsia="宋体" w:cs="Times New Roman"/>
          <w:b/>
          <w:bCs/>
          <w:szCs w:val="22"/>
          <w:highlight w:val="none"/>
          <w14:ligatures w14:val="standardContextual"/>
        </w:rPr>
        <w:t>六、漏洞扫描要求</w:t>
      </w:r>
    </w:p>
    <w:p w14:paraId="13176A46">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需对网络、主机、系统、中间件、应用等进行漏洞扫描，形成专业的漏洞扫描报告，并对漏洞进行归类，提出修复建议。</w:t>
      </w:r>
    </w:p>
    <w:p w14:paraId="0454C7E4">
      <w:pPr>
        <w:spacing w:line="360" w:lineRule="auto"/>
        <w:outlineLvl w:val="0"/>
        <w:rPr>
          <w:rFonts w:ascii="宋体" w:hAnsi="宋体" w:eastAsia="宋体" w:cs="Times New Roman"/>
          <w:b/>
          <w:bCs/>
          <w:szCs w:val="22"/>
          <w:highlight w:val="none"/>
          <w14:ligatures w14:val="standardContextual"/>
        </w:rPr>
      </w:pPr>
      <w:r>
        <w:rPr>
          <w:rFonts w:hint="eastAsia" w:ascii="宋体" w:hAnsi="宋体" w:eastAsia="宋体" w:cs="Times New Roman"/>
          <w:b/>
          <w:bCs/>
          <w:szCs w:val="22"/>
          <w:highlight w:val="none"/>
          <w14:ligatures w14:val="standardContextual"/>
        </w:rPr>
        <w:t>七、渗透测试要求</w:t>
      </w:r>
    </w:p>
    <w:p w14:paraId="43851BBE">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利用主流的攻击技术和工具对目标网络、业务系统、数据库进行模拟黑客攻击测试，并将发现的安全漏洞进行整理分析，针对每一个安全漏洞提供相应的解决建议。确保安全防护措施下的网络、信息系统抵抗入侵者攻击的能力。</w:t>
      </w:r>
    </w:p>
    <w:p w14:paraId="64861E6A">
      <w:pPr>
        <w:spacing w:line="360" w:lineRule="auto"/>
        <w:outlineLvl w:val="0"/>
        <w:rPr>
          <w:rFonts w:ascii="宋体" w:hAnsi="宋体" w:eastAsia="宋体" w:cs="Times New Roman"/>
          <w:b/>
          <w:bCs/>
          <w:szCs w:val="22"/>
          <w:highlight w:val="none"/>
          <w14:ligatures w14:val="standardContextual"/>
        </w:rPr>
      </w:pPr>
      <w:r>
        <w:rPr>
          <w:rFonts w:hint="eastAsia" w:ascii="宋体" w:hAnsi="宋体" w:eastAsia="宋体" w:cs="Times New Roman"/>
          <w:b/>
          <w:bCs/>
          <w:szCs w:val="22"/>
          <w:highlight w:val="none"/>
          <w14:ligatures w14:val="standardContextual"/>
        </w:rPr>
        <w:t>八、服务工具要求</w:t>
      </w:r>
    </w:p>
    <w:p w14:paraId="674DC9D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该服务工具产品（软、硬件及备件）需由投标方自行配备，不包含在本项目采购范围内。成交供应商必须保证所使用的所有工具和软件不会产生所有权和知识产权纠纷，并保证工具和软件的可用性和可靠性。由此产生的一切责任由成交供应商负完全责任。投标时提供</w:t>
      </w:r>
      <w:r>
        <w:rPr>
          <w:rFonts w:hint="eastAsia" w:ascii="宋体" w:hAnsi="宋体" w:eastAsia="宋体" w:cs="Times New Roman"/>
          <w:szCs w:val="22"/>
          <w:highlight w:val="none"/>
          <w:lang w:eastAsia="zh-CN"/>
          <w14:ligatures w14:val="standardContextual"/>
        </w:rPr>
        <w:t>工具</w:t>
      </w:r>
      <w:r>
        <w:rPr>
          <w:rFonts w:hint="eastAsia" w:ascii="宋体" w:hAnsi="宋体" w:eastAsia="宋体" w:cs="Times New Roman"/>
          <w:szCs w:val="22"/>
          <w:highlight w:val="none"/>
          <w14:ligatures w14:val="standardContextual"/>
        </w:rPr>
        <w:t>原厂授权书并加盖</w:t>
      </w:r>
      <w:r>
        <w:rPr>
          <w:rFonts w:hint="eastAsia" w:ascii="宋体" w:hAnsi="宋体" w:eastAsia="宋体" w:cs="Times New Roman"/>
          <w:szCs w:val="22"/>
          <w:highlight w:val="none"/>
          <w:lang w:eastAsia="zh-CN"/>
          <w14:ligatures w14:val="standardContextual"/>
        </w:rPr>
        <w:t>原厂</w:t>
      </w:r>
      <w:r>
        <w:rPr>
          <w:rFonts w:hint="eastAsia" w:ascii="宋体" w:hAnsi="宋体" w:eastAsia="宋体" w:cs="Times New Roman"/>
          <w:szCs w:val="22"/>
          <w:highlight w:val="none"/>
          <w14:ligatures w14:val="standardContextual"/>
        </w:rPr>
        <w:t>公章，参数要求如下：</w:t>
      </w:r>
    </w:p>
    <w:p w14:paraId="0E61456D">
      <w:pPr>
        <w:numPr>
          <w:ilvl w:val="255"/>
          <w:numId w:val="0"/>
        </w:numPr>
        <w:spacing w:line="360" w:lineRule="auto"/>
        <w:ind w:firstLine="0" w:firstLineChars="0"/>
        <w:outlineLvl w:val="1"/>
        <w:rPr>
          <w:rFonts w:ascii="宋体" w:hAnsi="宋体" w:eastAsia="宋体" w:cs="Times New Roman"/>
          <w:b/>
          <w:bCs/>
          <w:color w:val="auto"/>
          <w:szCs w:val="22"/>
          <w:highlight w:val="none"/>
          <w14:ligatures w14:val="standardContextual"/>
        </w:rPr>
      </w:pPr>
      <w:r>
        <w:rPr>
          <w:rFonts w:hint="eastAsia" w:ascii="宋体" w:hAnsi="宋体" w:eastAsia="宋体" w:cs="Times New Roman"/>
          <w:b/>
          <w:bCs/>
          <w:color w:val="auto"/>
          <w:szCs w:val="22"/>
          <w:highlight w:val="none"/>
          <w14:ligatures w14:val="standardContextual"/>
        </w:rPr>
        <w:t>1、远程安全扫描系统</w:t>
      </w:r>
    </w:p>
    <w:p w14:paraId="2C3DD6A0">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highlight w:val="none"/>
          <w14:ligatures w14:val="standardContextual"/>
        </w:rPr>
      </w:pPr>
      <w:r>
        <w:rPr>
          <w:rFonts w:hint="eastAsia" w:ascii="宋体" w:hAnsi="宋体" w:eastAsia="宋体" w:cs="Times New Roman"/>
          <w:color w:val="auto"/>
          <w:szCs w:val="22"/>
          <w:highlight w:val="none"/>
          <w14:ligatures w14:val="standardContextual"/>
        </w:rPr>
        <w:t>（1）▲</w:t>
      </w:r>
      <w:r>
        <w:rPr>
          <w:rFonts w:hint="eastAsia" w:ascii="宋体" w:hAnsi="宋体" w:eastAsia="宋体" w:cs="Times New Roman"/>
          <w:color w:val="auto"/>
          <w:kern w:val="2"/>
          <w:sz w:val="21"/>
          <w:szCs w:val="22"/>
          <w:highlight w:val="none"/>
          <w:lang w:val="en-US" w:eastAsia="zh-CN"/>
          <w14:ligatures w14:val="standardContextual"/>
        </w:rPr>
        <w:t>系统应集成系统扫描、应用扫描、被动扫描、数据库扫描、口令猜解、基线核查、镜像扫描、移动扫描检测于一体。</w:t>
      </w:r>
      <w:r>
        <w:rPr>
          <w:color w:val="auto"/>
          <w:highlight w:val="none"/>
        </w:rPr>
        <w:fldChar w:fldCharType="begin"/>
      </w:r>
      <w:r>
        <w:rPr>
          <w:color w:val="auto"/>
          <w:highlight w:val="none"/>
        </w:rPr>
        <w:instrText xml:space="preserve"> HYPERLINK \l "_多级部门管理" </w:instrText>
      </w:r>
      <w:r>
        <w:rPr>
          <w:color w:val="auto"/>
          <w:highlight w:val="none"/>
        </w:rPr>
        <w:fldChar w:fldCharType="separate"/>
      </w:r>
      <w:r>
        <w:rPr>
          <w:rFonts w:hint="eastAsia" w:ascii="宋体" w:hAnsi="宋体" w:eastAsia="宋体" w:cs="Times New Roman"/>
          <w:color w:val="auto"/>
          <w:szCs w:val="22"/>
          <w:highlight w:val="none"/>
          <w14:ligatures w14:val="standardContextual"/>
        </w:rPr>
        <w:t>（需提供相关截图证明并加盖原厂公章）</w:t>
      </w:r>
      <w:r>
        <w:rPr>
          <w:rFonts w:hint="eastAsia" w:ascii="宋体" w:hAnsi="宋体" w:eastAsia="宋体" w:cs="Times New Roman"/>
          <w:color w:val="auto"/>
          <w:szCs w:val="22"/>
          <w:highlight w:val="none"/>
          <w14:ligatures w14:val="standardContextual"/>
        </w:rPr>
        <w:fldChar w:fldCharType="end"/>
      </w:r>
    </w:p>
    <w:p w14:paraId="2527C303">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highlight w:val="none"/>
          <w14:ligatures w14:val="standardContextual"/>
        </w:rPr>
      </w:pP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szCs w:val="22"/>
          <w:highlight w:val="none"/>
          <w:lang w:val="en-US" w:eastAsia="zh-CN"/>
          <w14:ligatures w14:val="standardContextual"/>
        </w:rPr>
        <w:t>2</w:t>
      </w: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szCs w:val="22"/>
          <w:highlight w:val="none"/>
          <w:lang w:val="en-US" w:eastAsia="zh-CN"/>
          <w14:ligatures w14:val="standardContextual"/>
        </w:rPr>
        <w:t>支持ssh密钥登录到主机扫描</w:t>
      </w:r>
      <w:r>
        <w:rPr>
          <w:rFonts w:hint="eastAsia" w:ascii="宋体" w:hAnsi="宋体" w:eastAsia="宋体" w:cs="Times New Roman"/>
          <w:color w:val="auto"/>
          <w:sz w:val="21"/>
          <w:szCs w:val="22"/>
          <w:highlight w:val="none"/>
          <w14:ligatures w14:val="standardContextual"/>
        </w:rPr>
        <w:t>。</w:t>
      </w:r>
      <w:r>
        <w:rPr>
          <w:color w:val="auto"/>
          <w:highlight w:val="none"/>
        </w:rPr>
        <w:fldChar w:fldCharType="begin"/>
      </w:r>
      <w:r>
        <w:rPr>
          <w:color w:val="auto"/>
          <w:highlight w:val="none"/>
        </w:rPr>
        <w:instrText xml:space="preserve"> HYPERLINK \l "_多级部门管理" </w:instrText>
      </w:r>
      <w:r>
        <w:rPr>
          <w:color w:val="auto"/>
          <w:highlight w:val="none"/>
        </w:rPr>
        <w:fldChar w:fldCharType="separate"/>
      </w:r>
      <w:r>
        <w:rPr>
          <w:rFonts w:hint="eastAsia" w:ascii="宋体" w:hAnsi="宋体" w:eastAsia="宋体" w:cs="Times New Roman"/>
          <w:color w:val="auto"/>
          <w:szCs w:val="22"/>
          <w:highlight w:val="none"/>
          <w14:ligatures w14:val="standardContextual"/>
        </w:rPr>
        <w:t>（需提供相关截图证明并加盖原厂公章）</w:t>
      </w:r>
      <w:r>
        <w:rPr>
          <w:rFonts w:hint="eastAsia" w:ascii="宋体" w:hAnsi="宋体" w:eastAsia="宋体" w:cs="Times New Roman"/>
          <w:color w:val="auto"/>
          <w:szCs w:val="22"/>
          <w:highlight w:val="none"/>
          <w14:ligatures w14:val="standardContextual"/>
        </w:rPr>
        <w:fldChar w:fldCharType="end"/>
      </w:r>
    </w:p>
    <w:p w14:paraId="21BF9C09">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highlight w:val="none"/>
          <w14:ligatures w14:val="standardContextual"/>
        </w:rPr>
      </w:pP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szCs w:val="22"/>
          <w:highlight w:val="none"/>
          <w:lang w:val="en-US" w:eastAsia="zh-CN"/>
          <w14:ligatures w14:val="standardContextual"/>
        </w:rPr>
        <w:t>3</w:t>
      </w: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sz w:val="21"/>
          <w:szCs w:val="22"/>
          <w:highlight w:val="none"/>
          <w14:ligatures w14:val="standardContextual"/>
        </w:rPr>
        <w:t>系统应支持syslog、邮件、页面告警、短信告警、kafk告警、webhook告警，包括飞书bot等告警方式</w:t>
      </w:r>
      <w:r>
        <w:rPr>
          <w:rFonts w:hint="eastAsia" w:ascii="宋体" w:hAnsi="宋体" w:eastAsia="宋体" w:cs="Times New Roman"/>
          <w:color w:val="auto"/>
          <w:sz w:val="21"/>
          <w:szCs w:val="22"/>
          <w:highlight w:val="none"/>
          <w:lang w:eastAsia="zh-CN"/>
          <w14:ligatures w14:val="standardContextual"/>
        </w:rPr>
        <w:t>。</w:t>
      </w:r>
      <w:r>
        <w:rPr>
          <w:color w:val="auto"/>
          <w:highlight w:val="none"/>
        </w:rPr>
        <w:fldChar w:fldCharType="begin"/>
      </w:r>
      <w:r>
        <w:rPr>
          <w:color w:val="auto"/>
          <w:highlight w:val="none"/>
        </w:rPr>
        <w:instrText xml:space="preserve"> HYPERLINK \l "_多级部门管理" </w:instrText>
      </w:r>
      <w:r>
        <w:rPr>
          <w:color w:val="auto"/>
          <w:highlight w:val="none"/>
        </w:rPr>
        <w:fldChar w:fldCharType="separate"/>
      </w:r>
      <w:r>
        <w:rPr>
          <w:rFonts w:hint="eastAsia" w:ascii="宋体" w:hAnsi="宋体" w:eastAsia="宋体" w:cs="Times New Roman"/>
          <w:color w:val="auto"/>
          <w:szCs w:val="22"/>
          <w:highlight w:val="none"/>
          <w14:ligatures w14:val="standardContextual"/>
        </w:rPr>
        <w:t>（需提供相关截图证明并加盖原厂公章）</w:t>
      </w:r>
      <w:r>
        <w:rPr>
          <w:rFonts w:hint="eastAsia" w:ascii="宋体" w:hAnsi="宋体" w:eastAsia="宋体" w:cs="Times New Roman"/>
          <w:color w:val="auto"/>
          <w:szCs w:val="22"/>
          <w:highlight w:val="none"/>
          <w14:ligatures w14:val="standardContextual"/>
        </w:rPr>
        <w:fldChar w:fldCharType="end"/>
      </w:r>
    </w:p>
    <w:p w14:paraId="42AE01ED">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Cs w:val="22"/>
          <w:highlight w:val="none"/>
          <w14:ligatures w14:val="standardContextual"/>
        </w:rPr>
      </w:pP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szCs w:val="22"/>
          <w:highlight w:val="none"/>
          <w:lang w:val="en-US" w:eastAsia="zh-CN"/>
          <w14:ligatures w14:val="standardContextual"/>
        </w:rPr>
        <w:t>4</w:t>
      </w: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sz w:val="21"/>
          <w:szCs w:val="22"/>
          <w:highlight w:val="none"/>
          <w14:ligatures w14:val="standardContextual"/>
        </w:rPr>
        <w:t>系统应支持在漏洞库升级完成后，列举出受新漏洞影响的资产进行资产漏洞预警。</w:t>
      </w:r>
      <w:r>
        <w:rPr>
          <w:color w:val="auto"/>
          <w:highlight w:val="none"/>
        </w:rPr>
        <w:fldChar w:fldCharType="begin"/>
      </w:r>
      <w:r>
        <w:rPr>
          <w:color w:val="auto"/>
          <w:highlight w:val="none"/>
        </w:rPr>
        <w:instrText xml:space="preserve"> HYPERLINK \l "_多级部门管理" </w:instrText>
      </w:r>
      <w:r>
        <w:rPr>
          <w:color w:val="auto"/>
          <w:highlight w:val="none"/>
        </w:rPr>
        <w:fldChar w:fldCharType="separate"/>
      </w:r>
      <w:r>
        <w:rPr>
          <w:rFonts w:hint="eastAsia" w:ascii="宋体" w:hAnsi="宋体" w:eastAsia="宋体" w:cs="Times New Roman"/>
          <w:color w:val="auto"/>
          <w:szCs w:val="22"/>
          <w:highlight w:val="none"/>
          <w14:ligatures w14:val="standardContextual"/>
        </w:rPr>
        <w:t>（需提供相关截图证明并加盖原厂公章）</w:t>
      </w:r>
      <w:r>
        <w:rPr>
          <w:rFonts w:hint="eastAsia" w:ascii="宋体" w:hAnsi="宋体" w:eastAsia="宋体" w:cs="Times New Roman"/>
          <w:color w:val="auto"/>
          <w:szCs w:val="22"/>
          <w:highlight w:val="none"/>
          <w14:ligatures w14:val="standardContextual"/>
        </w:rPr>
        <w:fldChar w:fldCharType="end"/>
      </w:r>
    </w:p>
    <w:p w14:paraId="3A116AF3">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highlight w:val="none"/>
          <w14:ligatures w14:val="standardContextual"/>
        </w:rPr>
      </w:pP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szCs w:val="22"/>
          <w:highlight w:val="none"/>
          <w:lang w:val="en-US" w:eastAsia="zh-CN"/>
          <w14:ligatures w14:val="standardContextual"/>
        </w:rPr>
        <w:t>5</w:t>
      </w: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sz w:val="21"/>
          <w:szCs w:val="22"/>
          <w:highlight w:val="none"/>
          <w14:ligatures w14:val="standardContextual"/>
        </w:rPr>
        <w:t>系统应支持扫描结果报表对漏洞数据聚合，同一个组件有多个漏洞对应不同的修复版本时，可以在报表中展示“建议升级的最小安全版本”，无须挨个漏洞查看。在单主机报表的安装软件信息里面查看。</w:t>
      </w:r>
      <w:r>
        <w:rPr>
          <w:color w:val="auto"/>
          <w:highlight w:val="none"/>
        </w:rPr>
        <w:fldChar w:fldCharType="begin"/>
      </w:r>
      <w:r>
        <w:rPr>
          <w:color w:val="auto"/>
          <w:highlight w:val="none"/>
        </w:rPr>
        <w:instrText xml:space="preserve"> HYPERLINK \l "_多级部门管理" </w:instrText>
      </w:r>
      <w:r>
        <w:rPr>
          <w:color w:val="auto"/>
          <w:highlight w:val="none"/>
        </w:rPr>
        <w:fldChar w:fldCharType="separate"/>
      </w:r>
      <w:r>
        <w:rPr>
          <w:rFonts w:hint="eastAsia" w:ascii="宋体" w:hAnsi="宋体" w:eastAsia="宋体" w:cs="Times New Roman"/>
          <w:color w:val="auto"/>
          <w:szCs w:val="22"/>
          <w:highlight w:val="none"/>
          <w14:ligatures w14:val="standardContextual"/>
        </w:rPr>
        <w:t>（需提供相关截图证明并加盖原厂公章）</w:t>
      </w:r>
      <w:r>
        <w:rPr>
          <w:rFonts w:hint="eastAsia" w:ascii="宋体" w:hAnsi="宋体" w:eastAsia="宋体" w:cs="Times New Roman"/>
          <w:color w:val="auto"/>
          <w:szCs w:val="22"/>
          <w:highlight w:val="none"/>
          <w14:ligatures w14:val="standardContextual"/>
        </w:rPr>
        <w:fldChar w:fldCharType="end"/>
      </w:r>
    </w:p>
    <w:p w14:paraId="514CB29F">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highlight w:val="none"/>
          <w14:ligatures w14:val="standardContextual"/>
        </w:rPr>
      </w:pP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szCs w:val="22"/>
          <w:highlight w:val="none"/>
          <w:lang w:val="en-US" w:eastAsia="zh-CN"/>
          <w14:ligatures w14:val="standardContextual"/>
        </w:rPr>
        <w:t>6</w:t>
      </w: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kern w:val="2"/>
          <w:sz w:val="21"/>
          <w:szCs w:val="22"/>
          <w:highlight w:val="none"/>
          <w14:ligatures w14:val="standardContextual"/>
        </w:rPr>
        <w:t>系统应支持针对指定IP段，同时一键下发系统扫描、WEB扫描、弱口令扫描任务，其中WEB扫描能够自动发现该网段内的在线网站并开展扫描；弱口令扫描能自动发现该网段IP开放服务并自动开展弱口令扫描</w:t>
      </w:r>
      <w:r>
        <w:rPr>
          <w:rFonts w:hint="eastAsia" w:ascii="宋体" w:hAnsi="宋体" w:eastAsia="宋体" w:cs="Times New Roman"/>
          <w:color w:val="auto"/>
          <w:kern w:val="2"/>
          <w:sz w:val="21"/>
          <w:szCs w:val="22"/>
          <w:highlight w:val="none"/>
          <w:lang w:eastAsia="zh-CN"/>
          <w14:ligatures w14:val="standardContextual"/>
        </w:rPr>
        <w:t>。</w:t>
      </w:r>
      <w:r>
        <w:rPr>
          <w:color w:val="auto"/>
          <w:highlight w:val="none"/>
        </w:rPr>
        <w:fldChar w:fldCharType="begin"/>
      </w:r>
      <w:r>
        <w:rPr>
          <w:color w:val="auto"/>
          <w:highlight w:val="none"/>
        </w:rPr>
        <w:instrText xml:space="preserve"> HYPERLINK \l "_多级部门管理" </w:instrText>
      </w:r>
      <w:r>
        <w:rPr>
          <w:color w:val="auto"/>
          <w:highlight w:val="none"/>
        </w:rPr>
        <w:fldChar w:fldCharType="separate"/>
      </w:r>
      <w:r>
        <w:rPr>
          <w:rFonts w:hint="eastAsia" w:ascii="宋体" w:hAnsi="宋体" w:eastAsia="宋体" w:cs="Times New Roman"/>
          <w:color w:val="auto"/>
          <w:szCs w:val="22"/>
          <w:highlight w:val="none"/>
          <w14:ligatures w14:val="standardContextual"/>
        </w:rPr>
        <w:t>（需提供相关截图证明并加盖原厂公章）</w:t>
      </w:r>
      <w:r>
        <w:rPr>
          <w:rFonts w:hint="eastAsia" w:ascii="宋体" w:hAnsi="宋体" w:eastAsia="宋体" w:cs="Times New Roman"/>
          <w:color w:val="auto"/>
          <w:szCs w:val="22"/>
          <w:highlight w:val="none"/>
          <w14:ligatures w14:val="standardContextual"/>
        </w:rPr>
        <w:fldChar w:fldCharType="end"/>
      </w:r>
    </w:p>
    <w:p w14:paraId="72AF2EB0">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highlight w:val="none"/>
          <w14:ligatures w14:val="standardContextual"/>
        </w:rPr>
      </w:pP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szCs w:val="22"/>
          <w:highlight w:val="none"/>
          <w:lang w:val="en-US" w:eastAsia="zh-CN"/>
          <w14:ligatures w14:val="standardContextual"/>
        </w:rPr>
        <w:t>7</w:t>
      </w: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kern w:val="2"/>
          <w:sz w:val="21"/>
          <w:szCs w:val="22"/>
          <w:highlight w:val="none"/>
          <w14:ligatures w14:val="standardContextual"/>
        </w:rPr>
        <w:t>系统漏洞库数应大于400000条，所有漏洞支持通过多种维度对漏洞进行检索，包括：CVE、Bugtraq ID、CNCVE、CNVD 、CNNVD、MS ID 编号、危险等级、漏洞名称、是否使用危险插件、漏洞发布时间、CVSS、影响服务、影响组件、威胁类型、POC维度等信息</w:t>
      </w:r>
      <w:r>
        <w:rPr>
          <w:rFonts w:hint="eastAsia" w:ascii="宋体" w:hAnsi="宋体" w:eastAsia="宋体" w:cs="Times New Roman"/>
          <w:color w:val="auto"/>
          <w:kern w:val="2"/>
          <w:sz w:val="21"/>
          <w:szCs w:val="22"/>
          <w:highlight w:val="none"/>
          <w:lang w:eastAsia="zh-CN"/>
          <w14:ligatures w14:val="standardContextual"/>
        </w:rPr>
        <w:t>。</w:t>
      </w:r>
      <w:r>
        <w:rPr>
          <w:color w:val="auto"/>
          <w:highlight w:val="none"/>
        </w:rPr>
        <w:fldChar w:fldCharType="begin"/>
      </w:r>
      <w:r>
        <w:rPr>
          <w:color w:val="auto"/>
          <w:highlight w:val="none"/>
        </w:rPr>
        <w:instrText xml:space="preserve"> HYPERLINK \l "_多级部门管理" </w:instrText>
      </w:r>
      <w:r>
        <w:rPr>
          <w:color w:val="auto"/>
          <w:highlight w:val="none"/>
        </w:rPr>
        <w:fldChar w:fldCharType="separate"/>
      </w:r>
      <w:r>
        <w:rPr>
          <w:rFonts w:hint="eastAsia" w:ascii="宋体" w:hAnsi="宋体" w:eastAsia="宋体" w:cs="Times New Roman"/>
          <w:color w:val="auto"/>
          <w:szCs w:val="22"/>
          <w:highlight w:val="none"/>
          <w14:ligatures w14:val="standardContextual"/>
        </w:rPr>
        <w:t>（需提供相关截图证明并加盖原厂公章）</w:t>
      </w:r>
      <w:r>
        <w:rPr>
          <w:rFonts w:hint="eastAsia" w:ascii="宋体" w:hAnsi="宋体" w:eastAsia="宋体" w:cs="Times New Roman"/>
          <w:color w:val="auto"/>
          <w:szCs w:val="22"/>
          <w:highlight w:val="none"/>
          <w14:ligatures w14:val="standardContextual"/>
        </w:rPr>
        <w:fldChar w:fldCharType="end"/>
      </w:r>
    </w:p>
    <w:p w14:paraId="1E5FFC17">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highlight w:val="none"/>
          <w14:ligatures w14:val="standardContextual"/>
        </w:rPr>
      </w:pP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szCs w:val="22"/>
          <w:highlight w:val="none"/>
          <w:lang w:val="en-US" w:eastAsia="zh-CN"/>
          <w14:ligatures w14:val="standardContextual"/>
        </w:rPr>
        <w:t>8</w:t>
      </w: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kern w:val="2"/>
          <w:sz w:val="21"/>
          <w:szCs w:val="22"/>
          <w:highlight w:val="none"/>
          <w14:ligatures w14:val="standardContextual"/>
        </w:rPr>
        <w:t>系统应支持多个相关安全标准，包括但不限于网络安全等级保护2.0（第三、四级）、南网网络安全合规基线技术规范</w:t>
      </w:r>
      <w:r>
        <w:rPr>
          <w:rFonts w:hint="eastAsia" w:ascii="宋体" w:hAnsi="宋体" w:eastAsia="宋体" w:cs="Times New Roman"/>
          <w:color w:val="auto"/>
          <w:kern w:val="2"/>
          <w:sz w:val="21"/>
          <w:szCs w:val="22"/>
          <w:highlight w:val="none"/>
          <w:lang w:eastAsia="zh-CN"/>
          <w14:ligatures w14:val="standardContextual"/>
        </w:rPr>
        <w:t>。</w:t>
      </w:r>
      <w:r>
        <w:rPr>
          <w:color w:val="auto"/>
          <w:highlight w:val="none"/>
        </w:rPr>
        <w:fldChar w:fldCharType="begin"/>
      </w:r>
      <w:r>
        <w:rPr>
          <w:color w:val="auto"/>
          <w:highlight w:val="none"/>
        </w:rPr>
        <w:instrText xml:space="preserve"> HYPERLINK \l "_多级部门管理" </w:instrText>
      </w:r>
      <w:r>
        <w:rPr>
          <w:color w:val="auto"/>
          <w:highlight w:val="none"/>
        </w:rPr>
        <w:fldChar w:fldCharType="separate"/>
      </w:r>
      <w:r>
        <w:rPr>
          <w:rFonts w:hint="eastAsia" w:ascii="宋体" w:hAnsi="宋体" w:eastAsia="宋体" w:cs="Times New Roman"/>
          <w:color w:val="auto"/>
          <w:szCs w:val="22"/>
          <w:highlight w:val="none"/>
          <w14:ligatures w14:val="standardContextual"/>
        </w:rPr>
        <w:t>（需提供相关截图证明并加盖原厂公章）</w:t>
      </w:r>
      <w:r>
        <w:rPr>
          <w:rFonts w:hint="eastAsia" w:ascii="宋体" w:hAnsi="宋体" w:eastAsia="宋体" w:cs="Times New Roman"/>
          <w:color w:val="auto"/>
          <w:szCs w:val="22"/>
          <w:highlight w:val="none"/>
          <w14:ligatures w14:val="standardContextual"/>
        </w:rPr>
        <w:fldChar w:fldCharType="end"/>
      </w:r>
    </w:p>
    <w:p w14:paraId="35764328">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Cs w:val="22"/>
          <w:highlight w:val="none"/>
          <w14:ligatures w14:val="standardContextual"/>
        </w:rPr>
      </w:pP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szCs w:val="22"/>
          <w:highlight w:val="none"/>
          <w:lang w:val="en-US" w:eastAsia="zh-CN"/>
          <w14:ligatures w14:val="standardContextual"/>
        </w:rPr>
        <w:t>9</w:t>
      </w: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sz w:val="21"/>
          <w:szCs w:val="22"/>
          <w:highlight w:val="none"/>
          <w14:ligatures w14:val="standardContextual"/>
        </w:rPr>
        <w:t>系统应支持自定义POC，便于用户自行编写符合其需求的POC代码。</w:t>
      </w:r>
      <w:r>
        <w:rPr>
          <w:color w:val="auto"/>
          <w:highlight w:val="none"/>
        </w:rPr>
        <w:fldChar w:fldCharType="begin"/>
      </w:r>
      <w:r>
        <w:rPr>
          <w:color w:val="auto"/>
          <w:highlight w:val="none"/>
        </w:rPr>
        <w:instrText xml:space="preserve"> HYPERLINK \l "_多级部门管理" </w:instrText>
      </w:r>
      <w:r>
        <w:rPr>
          <w:color w:val="auto"/>
          <w:highlight w:val="none"/>
        </w:rPr>
        <w:fldChar w:fldCharType="separate"/>
      </w:r>
      <w:r>
        <w:rPr>
          <w:rFonts w:hint="eastAsia" w:ascii="宋体" w:hAnsi="宋体" w:eastAsia="宋体" w:cs="Times New Roman"/>
          <w:color w:val="auto"/>
          <w:szCs w:val="22"/>
          <w:highlight w:val="none"/>
          <w14:ligatures w14:val="standardContextual"/>
        </w:rPr>
        <w:t>（需提供相关截图证明并加盖原厂公章）</w:t>
      </w:r>
      <w:r>
        <w:rPr>
          <w:rFonts w:hint="eastAsia" w:ascii="宋体" w:hAnsi="宋体" w:eastAsia="宋体" w:cs="Times New Roman"/>
          <w:color w:val="auto"/>
          <w:szCs w:val="22"/>
          <w:highlight w:val="none"/>
          <w14:ligatures w14:val="standardContextual"/>
        </w:rPr>
        <w:fldChar w:fldCharType="end"/>
      </w:r>
    </w:p>
    <w:p w14:paraId="7A23D60B">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宋体" w:hAnsi="宋体" w:eastAsia="宋体" w:cs="Times New Roman"/>
          <w:color w:val="auto"/>
          <w:szCs w:val="22"/>
          <w:highlight w:val="none"/>
          <w14:ligatures w14:val="standardContextual"/>
        </w:rPr>
        <w:t>（1</w:t>
      </w:r>
      <w:r>
        <w:rPr>
          <w:rFonts w:hint="eastAsia" w:ascii="宋体" w:hAnsi="宋体" w:eastAsia="宋体" w:cs="Times New Roman"/>
          <w:color w:val="auto"/>
          <w:szCs w:val="22"/>
          <w:highlight w:val="none"/>
          <w:lang w:val="en-US" w:eastAsia="zh-CN"/>
          <w14:ligatures w14:val="standardContextual"/>
        </w:rPr>
        <w:t>0</w:t>
      </w:r>
      <w:r>
        <w:rPr>
          <w:rFonts w:hint="eastAsia" w:ascii="宋体" w:hAnsi="宋体" w:eastAsia="宋体" w:cs="Times New Roman"/>
          <w:color w:val="auto"/>
          <w:szCs w:val="22"/>
          <w:highlight w:val="none"/>
          <w14:ligatures w14:val="standardContextual"/>
        </w:rPr>
        <w:t>）▲</w:t>
      </w:r>
      <w:r>
        <w:rPr>
          <w:rFonts w:hint="eastAsia" w:ascii="宋体" w:hAnsi="宋体" w:eastAsia="宋体" w:cs="Times New Roman"/>
          <w:color w:val="auto"/>
          <w:sz w:val="21"/>
          <w:szCs w:val="22"/>
          <w:highlight w:val="none"/>
          <w14:ligatures w14:val="standardContextual"/>
        </w:rPr>
        <w:t>支持反连平台，用于辅助发现无回显命令执行漏洞，可在页面配置反连平台。</w:t>
      </w:r>
      <w:r>
        <w:rPr>
          <w:color w:val="auto"/>
          <w:highlight w:val="none"/>
        </w:rPr>
        <w:fldChar w:fldCharType="begin"/>
      </w:r>
      <w:r>
        <w:rPr>
          <w:color w:val="auto"/>
          <w:highlight w:val="none"/>
        </w:rPr>
        <w:instrText xml:space="preserve"> HYPERLINK \l "_多级部门管理" </w:instrText>
      </w:r>
      <w:r>
        <w:rPr>
          <w:color w:val="auto"/>
          <w:highlight w:val="none"/>
        </w:rPr>
        <w:fldChar w:fldCharType="separate"/>
      </w:r>
      <w:r>
        <w:rPr>
          <w:rFonts w:hint="eastAsia" w:ascii="宋体" w:hAnsi="宋体" w:eastAsia="宋体" w:cs="Times New Roman"/>
          <w:color w:val="auto"/>
          <w:szCs w:val="22"/>
          <w:highlight w:val="none"/>
          <w14:ligatures w14:val="standardContextual"/>
        </w:rPr>
        <w:t>（需提供相关截图证明并加盖原厂公章）</w:t>
      </w:r>
      <w:r>
        <w:rPr>
          <w:rFonts w:hint="eastAsia" w:ascii="宋体" w:hAnsi="宋体" w:eastAsia="宋体" w:cs="Times New Roman"/>
          <w:color w:val="auto"/>
          <w:szCs w:val="22"/>
          <w:highlight w:val="none"/>
          <w14:ligatures w14:val="standardContextual"/>
        </w:rPr>
        <w:fldChar w:fldCharType="end"/>
      </w:r>
    </w:p>
    <w:p w14:paraId="1BB88001">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Cs w:val="22"/>
          <w:highlight w:val="none"/>
          <w:lang w:eastAsia="zh-CN"/>
          <w14:ligatures w14:val="standardContextual"/>
        </w:rPr>
      </w:pPr>
      <w:r>
        <w:rPr>
          <w:rFonts w:hint="eastAsia" w:ascii="宋体" w:hAnsi="宋体" w:eastAsia="宋体" w:cs="Times New Roman"/>
          <w:color w:val="auto"/>
          <w:szCs w:val="22"/>
          <w:highlight w:val="none"/>
          <w14:ligatures w14:val="standardContextual"/>
        </w:rPr>
        <w:t>（1</w:t>
      </w:r>
      <w:r>
        <w:rPr>
          <w:rFonts w:hint="eastAsia" w:ascii="宋体" w:hAnsi="宋体" w:eastAsia="宋体" w:cs="Times New Roman"/>
          <w:color w:val="auto"/>
          <w:szCs w:val="22"/>
          <w:highlight w:val="none"/>
          <w:lang w:val="en-US" w:eastAsia="zh-CN"/>
          <w14:ligatures w14:val="standardContextual"/>
        </w:rPr>
        <w:t>1</w:t>
      </w:r>
      <w:r>
        <w:rPr>
          <w:rFonts w:hint="eastAsia" w:ascii="宋体" w:hAnsi="宋体" w:eastAsia="宋体" w:cs="Times New Roman"/>
          <w:color w:val="auto"/>
          <w:szCs w:val="22"/>
          <w:highlight w:val="none"/>
          <w14:ligatures w14:val="standardContextual"/>
        </w:rPr>
        <w:t>）▲系统应支持国产数据库包括：华为GaussDB、达梦、人大金仓、南大通用、神通大型、SinoDB(星瑞格)等</w:t>
      </w:r>
      <w:r>
        <w:rPr>
          <w:rFonts w:hint="eastAsia" w:ascii="宋体" w:hAnsi="宋体" w:eastAsia="宋体" w:cs="Times New Roman"/>
          <w:color w:val="auto"/>
          <w:szCs w:val="22"/>
          <w:highlight w:val="none"/>
          <w:lang w:eastAsia="zh-CN"/>
          <w14:ligatures w14:val="standardContextual"/>
        </w:rPr>
        <w:t>。</w:t>
      </w:r>
      <w:r>
        <w:rPr>
          <w:color w:val="auto"/>
          <w:highlight w:val="none"/>
        </w:rPr>
        <w:fldChar w:fldCharType="begin"/>
      </w:r>
      <w:r>
        <w:rPr>
          <w:color w:val="auto"/>
          <w:highlight w:val="none"/>
        </w:rPr>
        <w:instrText xml:space="preserve"> HYPERLINK \l "_多级部门管理" </w:instrText>
      </w:r>
      <w:r>
        <w:rPr>
          <w:color w:val="auto"/>
          <w:highlight w:val="none"/>
        </w:rPr>
        <w:fldChar w:fldCharType="separate"/>
      </w:r>
      <w:r>
        <w:rPr>
          <w:rFonts w:hint="eastAsia" w:ascii="宋体" w:hAnsi="宋体" w:eastAsia="宋体" w:cs="Times New Roman"/>
          <w:color w:val="auto"/>
          <w:szCs w:val="22"/>
          <w:highlight w:val="none"/>
          <w14:ligatures w14:val="standardContextual"/>
        </w:rPr>
        <w:t>（需提供相关截图证明并加盖原厂公章）</w:t>
      </w:r>
      <w:r>
        <w:rPr>
          <w:rFonts w:hint="eastAsia" w:ascii="宋体" w:hAnsi="宋体" w:eastAsia="宋体" w:cs="Times New Roman"/>
          <w:color w:val="auto"/>
          <w:szCs w:val="22"/>
          <w:highlight w:val="none"/>
          <w14:ligatures w14:val="standardContextual"/>
        </w:rPr>
        <w:fldChar w:fldCharType="end"/>
      </w:r>
    </w:p>
    <w:p w14:paraId="78EFE0AA">
      <w:pPr>
        <w:shd w:val="clear"/>
        <w:spacing w:line="360" w:lineRule="auto"/>
        <w:ind w:left="0" w:leftChars="0" w:firstLine="0" w:firstLineChars="0"/>
        <w:outlineLvl w:val="1"/>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2、管理系统</w:t>
      </w:r>
    </w:p>
    <w:p w14:paraId="68F1B50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14:ligatures w14:val="standardContextual"/>
        </w:rPr>
        <w:t>（</w:t>
      </w:r>
      <w:r>
        <w:rPr>
          <w:rFonts w:hint="eastAsia" w:asciiTheme="minorEastAsia" w:hAnsiTheme="minorEastAsia" w:eastAsiaTheme="minorEastAsia" w:cstheme="minorEastAsia"/>
          <w:color w:val="auto"/>
          <w:sz w:val="21"/>
          <w:szCs w:val="21"/>
          <w:highlight w:val="none"/>
          <w:lang w:val="en-US" w:eastAsia="zh-CN"/>
          <w14:ligatures w14:val="standardContextual"/>
        </w:rPr>
        <w:t>1</w:t>
      </w:r>
      <w:r>
        <w:rPr>
          <w:rFonts w:hint="eastAsia" w:asciiTheme="minorEastAsia" w:hAnsiTheme="minorEastAsia" w:eastAsiaTheme="minorEastAsia" w:cstheme="minorEastAsia"/>
          <w:color w:val="auto"/>
          <w:sz w:val="21"/>
          <w:szCs w:val="21"/>
          <w:highlight w:val="none"/>
          <w14:ligatures w14:val="standardContextual"/>
        </w:rPr>
        <w:t>）</w:t>
      </w:r>
      <w:r>
        <w:rPr>
          <w:rFonts w:hint="eastAsia" w:asciiTheme="minorEastAsia" w:hAnsiTheme="minorEastAsia" w:eastAsiaTheme="minorEastAsia" w:cstheme="minorEastAsia"/>
          <w:color w:val="auto"/>
          <w:sz w:val="21"/>
          <w:szCs w:val="21"/>
          <w:highlight w:val="none"/>
          <w:lang w:val="en-US" w:eastAsia="zh-CN"/>
        </w:rPr>
        <w:t>▲合规成果大屏展示</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HYPERLINK \l "_多级部门管理"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eastAsiaTheme="minorEastAsia" w:cstheme="minorEastAsia"/>
          <w:color w:val="auto"/>
          <w:sz w:val="21"/>
          <w:szCs w:val="21"/>
          <w:highlight w:val="none"/>
          <w:lang w:val="en-US" w:eastAsia="zh-CN"/>
        </w:rPr>
        <w:fldChar w:fldCharType="end"/>
      </w:r>
    </w:p>
    <w:p w14:paraId="768982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w:t>
      </w:r>
      <w:r>
        <w:rPr>
          <w:rFonts w:hint="eastAsia" w:asciiTheme="minorEastAsia" w:hAnsiTheme="minorEastAsia" w:eastAsiaTheme="minorEastAsia" w:cstheme="minorEastAsia"/>
          <w:color w:val="auto"/>
          <w:sz w:val="21"/>
          <w:szCs w:val="21"/>
          <w:highlight w:val="none"/>
          <w:lang w:val="en-US" w:eastAsia="zh-CN"/>
        </w:rPr>
        <w:t>合规总体态势(合规系统数量、分数走势与排名、遗留问题、合规工作进度、临期监测、整改跟踪、合规动态等)。</w:t>
      </w:r>
    </w:p>
    <w:p w14:paraId="57099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lang w:val="en-US" w:eastAsia="zh-CN"/>
        </w:rPr>
        <w:t>本单位合规管理动作统计(钓鱼演练、漏洞管理、弱口令扫描、教育培训、合规检测、漏洞修复、组织架构、规章制度、合规自查等)。</w:t>
      </w:r>
    </w:p>
    <w:p w14:paraId="30D4BA8A">
      <w:pPr>
        <w:keepNext w:val="0"/>
        <w:keepLines w:val="0"/>
        <w:pageBreakBefore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w:t>
      </w:r>
      <w:r>
        <w:rPr>
          <w:rFonts w:hint="eastAsia" w:asciiTheme="minorEastAsia" w:hAnsiTheme="minorEastAsia" w:eastAsiaTheme="minorEastAsia" w:cstheme="minorEastAsia"/>
          <w:color w:val="auto"/>
          <w:sz w:val="21"/>
          <w:szCs w:val="21"/>
          <w:highlight w:val="none"/>
          <w:lang w:val="en-US" w:eastAsia="zh-CN"/>
        </w:rPr>
        <w:t>支持自定义大屏显示内容，并且能够对主菜单自定义显示名称与调整位置，以支持不同汇报或迎检场景的需求</w:t>
      </w:r>
      <w:r>
        <w:rPr>
          <w:rFonts w:hint="eastAsia" w:asciiTheme="minorEastAsia" w:hAnsiTheme="minorEastAsia" w:cstheme="minorEastAsia"/>
          <w:color w:val="auto"/>
          <w:sz w:val="21"/>
          <w:szCs w:val="21"/>
          <w:highlight w:val="none"/>
          <w:lang w:val="en-US" w:eastAsia="zh-CN"/>
        </w:rPr>
        <w:t>。</w:t>
      </w:r>
    </w:p>
    <w:p w14:paraId="4DB646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14:ligatures w14:val="standardContextual"/>
        </w:rPr>
        <w:t>（</w:t>
      </w:r>
      <w:r>
        <w:rPr>
          <w:rFonts w:hint="eastAsia" w:asciiTheme="minorEastAsia" w:hAnsiTheme="minorEastAsia" w:eastAsiaTheme="minorEastAsia" w:cstheme="minorEastAsia"/>
          <w:color w:val="auto"/>
          <w:sz w:val="21"/>
          <w:szCs w:val="21"/>
          <w:highlight w:val="none"/>
          <w:lang w:val="en-US" w:eastAsia="zh-CN"/>
          <w14:ligatures w14:val="standardContextual"/>
        </w:rPr>
        <w:t>2</w:t>
      </w:r>
      <w:r>
        <w:rPr>
          <w:rFonts w:hint="eastAsia" w:asciiTheme="minorEastAsia" w:hAnsiTheme="minorEastAsia" w:eastAsiaTheme="minorEastAsia" w:cstheme="minorEastAsia"/>
          <w:color w:val="auto"/>
          <w:sz w:val="21"/>
          <w:szCs w:val="21"/>
          <w:highlight w:val="none"/>
          <w14:ligatures w14:val="standardContextual"/>
        </w:rPr>
        <w:t>）▲</w:t>
      </w:r>
      <w:r>
        <w:rPr>
          <w:rFonts w:hint="eastAsia" w:asciiTheme="minorEastAsia" w:hAnsiTheme="minorEastAsia" w:eastAsiaTheme="minorEastAsia" w:cstheme="minorEastAsia"/>
          <w:color w:val="auto"/>
          <w:sz w:val="21"/>
          <w:szCs w:val="21"/>
          <w:highlight w:val="none"/>
          <w:lang w:val="en-US" w:eastAsia="zh-CN"/>
        </w:rPr>
        <w:t>支持等级保护、商用密码应用安全性评估、数据安全和供应链安全等合规领域的应用场景进行集中展示可视化呈现单位合规管理工作成果并针对相关安全问题进行风险闭环追踪，包含安全问题、风险等级问题来源、关联系统、发现日期、整改建议、整改状态、整改记录</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cstheme="minorEastAsia"/>
          <w:color w:val="auto"/>
          <w:sz w:val="21"/>
          <w:szCs w:val="21"/>
          <w:highlight w:val="none"/>
          <w:lang w:val="en-US" w:eastAsia="zh-CN"/>
        </w:rPr>
        <w:t>）</w:t>
      </w:r>
    </w:p>
    <w:p w14:paraId="312285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14:ligatures w14:val="standardContextual"/>
        </w:rPr>
        <w:t>（</w:t>
      </w:r>
      <w:r>
        <w:rPr>
          <w:rFonts w:hint="eastAsia" w:asciiTheme="minorEastAsia" w:hAnsiTheme="minorEastAsia" w:eastAsiaTheme="minorEastAsia" w:cstheme="minorEastAsia"/>
          <w:color w:val="auto"/>
          <w:sz w:val="21"/>
          <w:szCs w:val="21"/>
          <w:highlight w:val="none"/>
          <w:lang w:val="en-US" w:eastAsia="zh-CN"/>
          <w14:ligatures w14:val="standardContextual"/>
        </w:rPr>
        <w:t>3</w:t>
      </w:r>
      <w:r>
        <w:rPr>
          <w:rFonts w:hint="eastAsia" w:asciiTheme="minorEastAsia" w:hAnsiTheme="minorEastAsia" w:eastAsiaTheme="minorEastAsia" w:cstheme="minorEastAsia"/>
          <w:color w:val="auto"/>
          <w:sz w:val="21"/>
          <w:szCs w:val="21"/>
          <w:highlight w:val="none"/>
          <w14:ligatures w14:val="standardContextual"/>
        </w:rPr>
        <w:t>）▲</w:t>
      </w:r>
      <w:r>
        <w:rPr>
          <w:rFonts w:hint="eastAsia" w:asciiTheme="minorEastAsia" w:hAnsiTheme="minorEastAsia" w:eastAsiaTheme="minorEastAsia" w:cstheme="minorEastAsia"/>
          <w:color w:val="auto"/>
          <w:sz w:val="21"/>
          <w:szCs w:val="21"/>
          <w:highlight w:val="none"/>
          <w:lang w:val="en-US" w:eastAsia="zh-CN"/>
        </w:rPr>
        <w:t>支持等级保护工作相关信息与资料的集中管理与展示。包括定级备案信息、3-5年历史测评对比分析测评遗留问题分析、测评结论信息、测评报告关键页系统与设备相关信息等，并以图形、图表方式直观地进行展示</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cstheme="minorEastAsia"/>
          <w:color w:val="auto"/>
          <w:sz w:val="21"/>
          <w:szCs w:val="21"/>
          <w:highlight w:val="none"/>
          <w:lang w:val="en-US" w:eastAsia="zh-CN"/>
        </w:rPr>
        <w:t>）</w:t>
      </w:r>
    </w:p>
    <w:p w14:paraId="53918E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14:ligatures w14:val="standardContextual"/>
        </w:rPr>
        <w:t>（</w:t>
      </w:r>
      <w:r>
        <w:rPr>
          <w:rFonts w:hint="eastAsia" w:asciiTheme="minorEastAsia" w:hAnsiTheme="minorEastAsia" w:eastAsiaTheme="minorEastAsia" w:cstheme="minorEastAsia"/>
          <w:color w:val="auto"/>
          <w:sz w:val="21"/>
          <w:szCs w:val="21"/>
          <w:highlight w:val="none"/>
          <w:lang w:val="en-US" w:eastAsia="zh-CN"/>
          <w14:ligatures w14:val="standardContextual"/>
        </w:rPr>
        <w:t>4</w:t>
      </w:r>
      <w:r>
        <w:rPr>
          <w:rFonts w:hint="eastAsia" w:asciiTheme="minorEastAsia" w:hAnsiTheme="minorEastAsia" w:eastAsiaTheme="minorEastAsia" w:cstheme="minorEastAsia"/>
          <w:color w:val="auto"/>
          <w:sz w:val="21"/>
          <w:szCs w:val="21"/>
          <w:highlight w:val="none"/>
          <w14:ligatures w14:val="standardContextual"/>
        </w:rPr>
        <w:t>）▲</w:t>
      </w:r>
      <w:r>
        <w:rPr>
          <w:rFonts w:hint="eastAsia" w:asciiTheme="minorEastAsia" w:hAnsiTheme="minorEastAsia" w:eastAsiaTheme="minorEastAsia" w:cstheme="minorEastAsia"/>
          <w:color w:val="auto"/>
          <w:sz w:val="21"/>
          <w:szCs w:val="21"/>
          <w:highlight w:val="none"/>
          <w:lang w:val="en-US" w:eastAsia="zh-CN"/>
        </w:rPr>
        <w:t>多层级文档库构建，并直观展示文档父子关系，批量调用与临期文档预警，提升制度补充效率及迎检材料整理速度</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cstheme="minorEastAsia"/>
          <w:color w:val="auto"/>
          <w:sz w:val="21"/>
          <w:szCs w:val="21"/>
          <w:highlight w:val="none"/>
          <w:lang w:val="en-US" w:eastAsia="zh-CN"/>
        </w:rPr>
        <w:t>）</w:t>
      </w:r>
    </w:p>
    <w:p w14:paraId="13649D0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14:ligatures w14:val="standardContextual"/>
        </w:rPr>
      </w:pPr>
      <w:r>
        <w:rPr>
          <w:rFonts w:hint="eastAsia" w:asciiTheme="minorEastAsia" w:hAnsiTheme="minorEastAsia" w:eastAsiaTheme="minorEastAsia" w:cstheme="minorEastAsia"/>
          <w:color w:val="auto"/>
          <w:sz w:val="21"/>
          <w:szCs w:val="21"/>
          <w:highlight w:val="none"/>
          <w14:ligatures w14:val="standardContextual"/>
        </w:rPr>
        <w:t>（</w:t>
      </w:r>
      <w:r>
        <w:rPr>
          <w:rFonts w:hint="eastAsia" w:asciiTheme="minorEastAsia" w:hAnsiTheme="minorEastAsia" w:cstheme="minorEastAsia"/>
          <w:color w:val="auto"/>
          <w:sz w:val="21"/>
          <w:szCs w:val="21"/>
          <w:highlight w:val="none"/>
          <w:lang w:val="en-US" w:eastAsia="zh-CN"/>
          <w14:ligatures w14:val="standardContextual"/>
        </w:rPr>
        <w:t>5</w:t>
      </w:r>
      <w:r>
        <w:rPr>
          <w:rFonts w:hint="eastAsia" w:asciiTheme="minorEastAsia" w:hAnsiTheme="minorEastAsia" w:eastAsiaTheme="minorEastAsia" w:cstheme="minorEastAsia"/>
          <w:color w:val="auto"/>
          <w:sz w:val="21"/>
          <w:szCs w:val="21"/>
          <w:highlight w:val="none"/>
          <w14:ligatures w14:val="standardContextual"/>
        </w:rPr>
        <w:t>）▲</w:t>
      </w:r>
      <w:r>
        <w:rPr>
          <w:rFonts w:hint="eastAsia" w:asciiTheme="minorEastAsia" w:hAnsiTheme="minorEastAsia" w:eastAsiaTheme="minorEastAsia" w:cstheme="minorEastAsia"/>
          <w:color w:val="auto"/>
          <w:sz w:val="21"/>
          <w:szCs w:val="21"/>
          <w:highlight w:val="none"/>
          <w:lang w:val="en-US" w:eastAsia="zh-CN"/>
        </w:rPr>
        <w:t>支持在新建检查任务时，对检查指标和应答要求进行灵活配置，包括可以支持检查指标的上传和至少4类应答方式的配置。能够快捷引用已经通过工具下发检查的安全指标与下发范围</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cstheme="minorEastAsia"/>
          <w:color w:val="auto"/>
          <w:sz w:val="21"/>
          <w:szCs w:val="21"/>
          <w:highlight w:val="none"/>
          <w:lang w:val="en-US" w:eastAsia="zh-CN"/>
        </w:rPr>
        <w:t>）</w:t>
      </w:r>
    </w:p>
    <w:p w14:paraId="0F37F83F">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14:ligatures w14:val="standardContextual"/>
        </w:rPr>
        <w:t>（</w:t>
      </w:r>
      <w:r>
        <w:rPr>
          <w:rFonts w:hint="eastAsia" w:asciiTheme="minorEastAsia" w:hAnsiTheme="minorEastAsia" w:cstheme="minorEastAsia"/>
          <w:color w:val="auto"/>
          <w:sz w:val="21"/>
          <w:szCs w:val="21"/>
          <w:highlight w:val="none"/>
          <w:lang w:val="en-US" w:eastAsia="zh-CN"/>
          <w14:ligatures w14:val="standardContextual"/>
        </w:rPr>
        <w:t>6</w:t>
      </w:r>
      <w:r>
        <w:rPr>
          <w:rFonts w:hint="eastAsia" w:asciiTheme="minorEastAsia" w:hAnsiTheme="minorEastAsia" w:eastAsiaTheme="minorEastAsia" w:cstheme="minorEastAsia"/>
          <w:color w:val="auto"/>
          <w:sz w:val="21"/>
          <w:szCs w:val="21"/>
          <w:highlight w:val="none"/>
          <w14:ligatures w14:val="standardContextual"/>
        </w:rPr>
        <w:t>）▲</w:t>
      </w:r>
      <w:r>
        <w:rPr>
          <w:rFonts w:hint="eastAsia" w:asciiTheme="minorEastAsia" w:hAnsiTheme="minorEastAsia" w:eastAsiaTheme="minorEastAsia" w:cstheme="minorEastAsia"/>
          <w:color w:val="auto"/>
          <w:sz w:val="21"/>
          <w:szCs w:val="21"/>
          <w:highlight w:val="none"/>
          <w:vertAlign w:val="baseline"/>
          <w:lang w:val="en-US" w:eastAsia="zh-CN"/>
        </w:rPr>
        <w:t>支持多级审核(如一线分析员初步定性、二线专家复审)，支持将多个类似事件进行合并，合并过程需能够保留相关事件的已完成任务;支持将告警追加入已提报的事件，将告警与事件进行关联;支持对事件进行升级或变更，可将事件升级或变更为其它运营脚本任务流程</w:t>
      </w:r>
      <w:r>
        <w:rPr>
          <w:rFonts w:hint="eastAsia" w:asciiTheme="minorEastAsia" w:hAnsiTheme="minorEastAsia" w:cstheme="minorEastAsia"/>
          <w:color w:val="auto"/>
          <w:sz w:val="21"/>
          <w:szCs w:val="21"/>
          <w:highlight w:val="none"/>
          <w:vertAlign w:val="baseline"/>
          <w:lang w:val="en-US" w:eastAsia="zh-CN"/>
        </w:rPr>
        <w:t>。</w:t>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cstheme="minorEastAsia"/>
          <w:color w:val="auto"/>
          <w:sz w:val="21"/>
          <w:szCs w:val="21"/>
          <w:highlight w:val="none"/>
          <w:lang w:val="en-US" w:eastAsia="zh-CN"/>
        </w:rPr>
        <w:t>）</w:t>
      </w:r>
    </w:p>
    <w:p w14:paraId="545897AF">
      <w:pPr>
        <w:spacing w:line="360" w:lineRule="auto"/>
        <w:outlineLvl w:val="0"/>
        <w:rPr>
          <w:rFonts w:ascii="宋体" w:hAnsi="宋体" w:eastAsia="宋体" w:cs="Times New Roman"/>
          <w:b/>
          <w:bCs/>
          <w:szCs w:val="22"/>
          <w:highlight w:val="none"/>
          <w14:ligatures w14:val="standardContextual"/>
        </w:rPr>
      </w:pPr>
      <w:r>
        <w:rPr>
          <w:rFonts w:hint="eastAsia" w:ascii="宋体" w:hAnsi="宋体" w:eastAsia="宋体" w:cs="Times New Roman"/>
          <w:b/>
          <w:bCs/>
          <w:szCs w:val="22"/>
          <w:highlight w:val="none"/>
          <w14:ligatures w14:val="standardContextual"/>
        </w:rPr>
        <w:t>九、</w:t>
      </w:r>
      <w:r>
        <w:rPr>
          <w:rFonts w:ascii="宋体" w:hAnsi="宋体" w:eastAsia="宋体" w:cs="Times New Roman"/>
          <w:b/>
          <w:bCs/>
          <w:szCs w:val="22"/>
          <w:highlight w:val="none"/>
          <w14:ligatures w14:val="standardContextual"/>
        </w:rPr>
        <w:t xml:space="preserve">交付报告要求 </w:t>
      </w:r>
    </w:p>
    <w:p w14:paraId="65BFE87E">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服务中产生的全部档案资料版权归</w:t>
      </w:r>
      <w:r>
        <w:rPr>
          <w:rFonts w:hint="eastAsia"/>
          <w:highlight w:val="none"/>
        </w:rPr>
        <w:t>化州市人民医院</w:t>
      </w:r>
      <w:r>
        <w:rPr>
          <w:rFonts w:hint="eastAsia" w:ascii="宋体" w:hAnsi="宋体" w:eastAsia="宋体" w:cs="Times New Roman"/>
          <w:szCs w:val="22"/>
          <w:highlight w:val="none"/>
          <w14:ligatures w14:val="standardContextual"/>
        </w:rPr>
        <w:t>所有，未经</w:t>
      </w:r>
      <w:r>
        <w:rPr>
          <w:rFonts w:hint="eastAsia"/>
          <w:highlight w:val="none"/>
        </w:rPr>
        <w:t>化州市人民医院</w:t>
      </w:r>
      <w:r>
        <w:rPr>
          <w:rFonts w:hint="eastAsia" w:ascii="宋体" w:hAnsi="宋体" w:eastAsia="宋体" w:cs="Times New Roman"/>
          <w:szCs w:val="22"/>
          <w:highlight w:val="none"/>
          <w14:ligatures w14:val="standardContextual"/>
        </w:rPr>
        <w:t>允许的情况下，不得以任何形式向第三方提供安全技术文档的全部或部分内容，交付文件包括但不限于如下成果和报告：</w:t>
      </w:r>
    </w:p>
    <w:p w14:paraId="0E471466">
      <w:pPr>
        <w:spacing w:line="360" w:lineRule="auto"/>
        <w:ind w:firstLine="420" w:firstLineChars="200"/>
        <w:rPr>
          <w:rFonts w:ascii="宋体" w:hAnsi="宋体" w:eastAsia="宋体" w:cs="Times New Roman"/>
          <w:szCs w:val="22"/>
          <w:highlight w:val="none"/>
          <w14:ligatures w14:val="standardContextual"/>
        </w:rPr>
      </w:pPr>
      <w:r>
        <w:rPr>
          <w:rFonts w:ascii="宋体" w:hAnsi="宋体" w:eastAsia="宋体" w:cs="Times New Roman"/>
          <w:szCs w:val="22"/>
          <w:highlight w:val="none"/>
          <w14:ligatures w14:val="standardContextual"/>
        </w:rPr>
        <w:t>1、等级保护测评实施计划</w:t>
      </w:r>
      <w:r>
        <w:rPr>
          <w:rFonts w:hint="eastAsia" w:ascii="宋体" w:hAnsi="宋体" w:eastAsia="宋体" w:cs="Times New Roman"/>
          <w:szCs w:val="22"/>
          <w:highlight w:val="none"/>
          <w14:ligatures w14:val="standardContextual"/>
        </w:rPr>
        <w:t>方案</w:t>
      </w:r>
    </w:p>
    <w:p w14:paraId="57E652BD">
      <w:pPr>
        <w:spacing w:line="360" w:lineRule="auto"/>
        <w:ind w:firstLine="420" w:firstLineChars="200"/>
        <w:rPr>
          <w:rFonts w:ascii="宋体" w:hAnsi="宋体" w:eastAsia="宋体" w:cs="Times New Roman"/>
          <w:szCs w:val="22"/>
          <w:highlight w:val="none"/>
          <w14:ligatures w14:val="standardContextual"/>
        </w:rPr>
      </w:pPr>
      <w:r>
        <w:rPr>
          <w:rFonts w:ascii="宋体" w:hAnsi="宋体" w:eastAsia="宋体" w:cs="Times New Roman"/>
          <w:szCs w:val="22"/>
          <w:highlight w:val="none"/>
          <w14:ligatures w14:val="standardContextual"/>
        </w:rPr>
        <w:t>2、信息系统定级备案表、信息系统定级报告、专家评审意见表</w:t>
      </w:r>
      <w:r>
        <w:rPr>
          <w:rFonts w:hint="eastAsia" w:ascii="宋体" w:hAnsi="宋体" w:eastAsia="宋体" w:cs="Times New Roman"/>
          <w:szCs w:val="22"/>
          <w:highlight w:val="none"/>
          <w14:ligatures w14:val="standardContextual"/>
        </w:rPr>
        <w:t>等</w:t>
      </w:r>
    </w:p>
    <w:p w14:paraId="3A00F3A7">
      <w:pPr>
        <w:spacing w:line="360" w:lineRule="auto"/>
        <w:ind w:firstLine="420" w:firstLineChars="200"/>
        <w:rPr>
          <w:rFonts w:ascii="宋体" w:hAnsi="宋体" w:eastAsia="宋体" w:cs="Times New Roman"/>
          <w:szCs w:val="22"/>
          <w:highlight w:val="none"/>
          <w14:ligatures w14:val="standardContextual"/>
        </w:rPr>
      </w:pPr>
      <w:r>
        <w:rPr>
          <w:rFonts w:ascii="宋体" w:hAnsi="宋体" w:eastAsia="宋体" w:cs="Times New Roman"/>
          <w:szCs w:val="22"/>
          <w:highlight w:val="none"/>
          <w14:ligatures w14:val="standardContextual"/>
        </w:rPr>
        <w:t>3、</w:t>
      </w:r>
      <w:r>
        <w:rPr>
          <w:rFonts w:hint="eastAsia"/>
          <w:highlight w:val="none"/>
        </w:rPr>
        <w:t>网络安全等级保护测评</w:t>
      </w:r>
      <w:r>
        <w:rPr>
          <w:rFonts w:ascii="宋体" w:hAnsi="宋体" w:eastAsia="宋体" w:cs="Times New Roman"/>
          <w:szCs w:val="22"/>
          <w:highlight w:val="none"/>
          <w14:ligatures w14:val="standardContextual"/>
        </w:rPr>
        <w:t>整改问题清单</w:t>
      </w:r>
    </w:p>
    <w:p w14:paraId="51902316">
      <w:pPr>
        <w:spacing w:line="360" w:lineRule="auto"/>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 xml:space="preserve">    4、《网络安全等级测评报告》、《信息系统定级备案证》、《网络安全等级测评报告回执》</w:t>
      </w:r>
    </w:p>
    <w:p w14:paraId="219EDF88">
      <w:pPr>
        <w:bidi w:val="0"/>
        <w:ind w:firstLine="420" w:firstLineChars="200"/>
        <w:rPr>
          <w:rFonts w:hint="eastAsia"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5</w:t>
      </w:r>
      <w:r>
        <w:rPr>
          <w:rFonts w:ascii="宋体" w:hAnsi="宋体" w:eastAsia="宋体" w:cs="Times New Roman"/>
          <w:szCs w:val="22"/>
          <w:highlight w:val="none"/>
          <w14:ligatures w14:val="standardContextual"/>
        </w:rPr>
        <w:t>、其他</w:t>
      </w:r>
      <w:r>
        <w:rPr>
          <w:rFonts w:hint="eastAsia"/>
          <w:highlight w:val="none"/>
        </w:rPr>
        <w:t>化州市人民医院</w:t>
      </w:r>
      <w:r>
        <w:rPr>
          <w:rFonts w:ascii="宋体" w:hAnsi="宋体" w:eastAsia="宋体" w:cs="Times New Roman"/>
          <w:szCs w:val="22"/>
          <w:highlight w:val="none"/>
          <w14:ligatures w14:val="standardContextual"/>
        </w:rPr>
        <w:t>认为有必要的交付物</w:t>
      </w:r>
      <w:r>
        <w:rPr>
          <w:rFonts w:hint="eastAsia" w:ascii="宋体" w:hAnsi="宋体" w:eastAsia="宋体" w:cs="Times New Roman"/>
          <w:szCs w:val="22"/>
          <w:highlight w:val="none"/>
          <w14:ligatures w14:val="standardContextual"/>
        </w:rPr>
        <w:t>。</w:t>
      </w:r>
    </w:p>
    <w:p w14:paraId="4626E323">
      <w:pPr>
        <w:bidi w:val="0"/>
        <w:ind w:firstLine="420" w:firstLineChars="200"/>
        <w:rPr>
          <w:rFonts w:hint="eastAsia" w:ascii="宋体" w:hAnsi="宋体" w:eastAsia="宋体" w:cs="Times New Roman"/>
          <w:szCs w:val="22"/>
          <w:highlight w:val="none"/>
          <w:lang w:val="en-US" w:eastAsia="zh-CN"/>
          <w14:ligatures w14:val="standardContextual"/>
        </w:rPr>
      </w:pPr>
      <w:r>
        <w:rPr>
          <w:rFonts w:hint="eastAsia" w:ascii="宋体" w:hAnsi="宋体" w:eastAsia="宋体" w:cs="Times New Roman"/>
          <w:szCs w:val="22"/>
          <w:highlight w:val="none"/>
          <w:lang w:val="en-US" w:eastAsia="zh-CN"/>
          <w14:ligatures w14:val="standardContextual"/>
        </w:rPr>
        <w:t>6、在本年度六月底前要完成初测，本年度九月底前要完成出具等保测评报告。</w:t>
      </w:r>
    </w:p>
    <w:p w14:paraId="66F22465">
      <w:pPr>
        <w:spacing w:line="360" w:lineRule="auto"/>
        <w:outlineLvl w:val="0"/>
        <w:rPr>
          <w:rFonts w:ascii="宋体" w:hAnsi="宋体" w:eastAsia="宋体" w:cs="Times New Roman"/>
          <w:b/>
          <w:bCs/>
          <w:szCs w:val="22"/>
          <w:highlight w:val="none"/>
          <w14:ligatures w14:val="standardContextual"/>
        </w:rPr>
      </w:pPr>
      <w:r>
        <w:rPr>
          <w:rFonts w:hint="eastAsia" w:ascii="宋体" w:hAnsi="宋体" w:eastAsia="宋体" w:cs="Times New Roman"/>
          <w:b/>
          <w:bCs/>
          <w:szCs w:val="22"/>
          <w:highlight w:val="none"/>
          <w14:ligatures w14:val="standardContextual"/>
        </w:rPr>
        <w:t>十、安全保密要求</w:t>
      </w:r>
      <w:r>
        <w:rPr>
          <w:rFonts w:ascii="宋体" w:hAnsi="宋体" w:eastAsia="宋体" w:cs="Times New Roman"/>
          <w:b/>
          <w:bCs/>
          <w:szCs w:val="22"/>
          <w:highlight w:val="none"/>
          <w14:ligatures w14:val="standardContextual"/>
        </w:rPr>
        <w:t xml:space="preserve"> </w:t>
      </w:r>
    </w:p>
    <w:p w14:paraId="726B152C">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中标人应当提供与</w:t>
      </w:r>
      <w:r>
        <w:rPr>
          <w:rFonts w:hint="eastAsia"/>
          <w:highlight w:val="none"/>
        </w:rPr>
        <w:t>化州市人民医院</w:t>
      </w:r>
      <w:r>
        <w:rPr>
          <w:rFonts w:hint="eastAsia" w:ascii="宋体" w:hAnsi="宋体" w:eastAsia="宋体" w:cs="Times New Roman"/>
          <w:szCs w:val="22"/>
          <w:highlight w:val="none"/>
          <w14:ligatures w14:val="standardContextual"/>
        </w:rPr>
        <w:t>的保密协议草拟本，并在中标后与</w:t>
      </w:r>
      <w:r>
        <w:rPr>
          <w:rFonts w:hint="eastAsia"/>
          <w:highlight w:val="none"/>
        </w:rPr>
        <w:t>化州市人民医院</w:t>
      </w:r>
      <w:r>
        <w:rPr>
          <w:rFonts w:hint="eastAsia" w:ascii="宋体" w:hAnsi="宋体" w:eastAsia="宋体" w:cs="Times New Roman"/>
          <w:szCs w:val="22"/>
          <w:highlight w:val="none"/>
          <w14:ligatures w14:val="standardContextual"/>
        </w:rPr>
        <w:t>签署保密协议，对于安全服务所获取的相关信息进行严格保密，未经授权不得泄露给任何单位和个人，不得利用此数据、信息进行任何侵</w:t>
      </w:r>
      <w:r>
        <w:rPr>
          <w:rFonts w:hint="eastAsia" w:ascii="宋体" w:hAnsi="宋体" w:eastAsia="宋体" w:cs="Times New Roman"/>
          <w:szCs w:val="22"/>
          <w:highlight w:val="none"/>
          <w14:ligatures w14:val="standardContextual"/>
        </w:rPr>
        <w:t>害</w:t>
      </w:r>
      <w:r>
        <w:rPr>
          <w:rFonts w:hint="eastAsia"/>
          <w:highlight w:val="none"/>
        </w:rPr>
        <w:t>化州市人民医院</w:t>
      </w:r>
      <w:r>
        <w:rPr>
          <w:rFonts w:hint="eastAsia" w:ascii="宋体" w:hAnsi="宋体" w:eastAsia="宋体" w:cs="Times New Roman"/>
          <w:szCs w:val="22"/>
          <w:highlight w:val="none"/>
          <w14:ligatures w14:val="standardContextual"/>
        </w:rPr>
        <w:t>信息系统的行为。</w:t>
      </w:r>
    </w:p>
    <w:p w14:paraId="1B64AF1B">
      <w:pPr>
        <w:spacing w:line="360" w:lineRule="auto"/>
        <w:outlineLvl w:val="0"/>
        <w:rPr>
          <w:rFonts w:ascii="宋体" w:hAnsi="宋体" w:eastAsia="宋体" w:cs="Times New Roman"/>
          <w:b/>
          <w:bCs/>
          <w:szCs w:val="22"/>
          <w:highlight w:val="none"/>
          <w14:ligatures w14:val="standardContextual"/>
        </w:rPr>
      </w:pPr>
      <w:r>
        <w:rPr>
          <w:rFonts w:hint="eastAsia" w:ascii="宋体" w:hAnsi="宋体" w:eastAsia="宋体" w:cs="Times New Roman"/>
          <w:b/>
          <w:bCs/>
          <w:szCs w:val="22"/>
          <w:highlight w:val="none"/>
          <w14:ligatures w14:val="standardContextual"/>
        </w:rPr>
        <w:t>十</w:t>
      </w:r>
      <w:r>
        <w:rPr>
          <w:rFonts w:hint="eastAsia" w:ascii="宋体" w:hAnsi="宋体" w:eastAsia="宋体" w:cs="Times New Roman"/>
          <w:b/>
          <w:bCs/>
          <w:szCs w:val="22"/>
          <w:highlight w:val="none"/>
          <w:lang w:eastAsia="zh-CN"/>
          <w14:ligatures w14:val="standardContextual"/>
        </w:rPr>
        <w:t>一</w:t>
      </w:r>
      <w:r>
        <w:rPr>
          <w:rFonts w:hint="eastAsia" w:ascii="宋体" w:hAnsi="宋体" w:eastAsia="宋体" w:cs="Times New Roman"/>
          <w:b/>
          <w:bCs/>
          <w:szCs w:val="22"/>
          <w:highlight w:val="none"/>
          <w14:ligatures w14:val="standardContextual"/>
        </w:rPr>
        <w:t>、其它要求</w:t>
      </w:r>
    </w:p>
    <w:p w14:paraId="009E61CC">
      <w:pPr>
        <w:spacing w:line="360" w:lineRule="auto"/>
        <w:ind w:firstLine="420" w:firstLineChars="200"/>
        <w:rPr>
          <w:rFonts w:ascii="宋体" w:hAnsi="宋体" w:eastAsia="宋体" w:cs="Times New Roman"/>
          <w:b/>
          <w:bCs/>
          <w:szCs w:val="22"/>
          <w:highlight w:val="none"/>
          <w14:ligatures w14:val="standardContextual"/>
        </w:rPr>
      </w:pPr>
      <w:r>
        <w:rPr>
          <w:rFonts w:hint="eastAsia" w:ascii="宋体" w:hAnsi="宋体" w:eastAsia="宋体" w:cs="Times New Roman"/>
          <w:szCs w:val="22"/>
          <w:highlight w:val="none"/>
          <w14:ligatures w14:val="standardContextual"/>
        </w:rPr>
        <w:t>★供应商必须具有公安部第三研究所认证发放的</w:t>
      </w:r>
      <w:r>
        <w:rPr>
          <w:rFonts w:hint="eastAsia" w:ascii="宋体" w:hAnsi="宋体" w:eastAsia="宋体" w:cs="Times New Roman"/>
          <w:szCs w:val="22"/>
          <w:highlight w:val="none"/>
          <w:lang w:val="en-US" w:eastAsia="zh-CN"/>
          <w14:ligatures w14:val="standardContextual"/>
        </w:rPr>
        <w:t xml:space="preserve"> </w:t>
      </w:r>
      <w:r>
        <w:rPr>
          <w:rFonts w:hint="eastAsia" w:ascii="宋体" w:hAnsi="宋体" w:eastAsia="宋体" w:cs="Times New Roman"/>
          <w:szCs w:val="22"/>
          <w:highlight w:val="none"/>
          <w14:ligatures w14:val="standardContextual"/>
        </w:rPr>
        <w:t>《网络安全服务认证证书等级保护测评服务认证》，证书须在有效期内，需提供证书相关证明材料扫描件。</w:t>
      </w:r>
    </w:p>
    <w:bookmarkEnd w:id="0"/>
    <w:p w14:paraId="77D19DF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iti SC Light">
    <w:altName w:val="微软雅黑"/>
    <w:panose1 w:val="02000000000000000000"/>
    <w:charset w:val="50"/>
    <w:family w:val="auto"/>
    <w:pitch w:val="default"/>
    <w:sig w:usb0="00000000" w:usb1="00000000" w:usb2="00000010" w:usb3="00000000" w:csb0="003E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732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A8FC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BA8FC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3BAEA">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NzYzMGE3ZDkyZTZjZmI1YzI0NDRiMDJiYjcwMjYifQ=="/>
  </w:docVars>
  <w:rsids>
    <w:rsidRoot w:val="6F555B04"/>
    <w:rsid w:val="0062175D"/>
    <w:rsid w:val="00750E1B"/>
    <w:rsid w:val="0084416A"/>
    <w:rsid w:val="00F45662"/>
    <w:rsid w:val="03C81C0C"/>
    <w:rsid w:val="07996C3F"/>
    <w:rsid w:val="0AB34861"/>
    <w:rsid w:val="0EAE0089"/>
    <w:rsid w:val="0F5512C6"/>
    <w:rsid w:val="143E2873"/>
    <w:rsid w:val="18B20F70"/>
    <w:rsid w:val="1E0D0FBE"/>
    <w:rsid w:val="1F265E3E"/>
    <w:rsid w:val="22C578FC"/>
    <w:rsid w:val="239301B8"/>
    <w:rsid w:val="289A7D95"/>
    <w:rsid w:val="2DC117F6"/>
    <w:rsid w:val="36435A6D"/>
    <w:rsid w:val="36CC52E9"/>
    <w:rsid w:val="36DB7999"/>
    <w:rsid w:val="37267C0D"/>
    <w:rsid w:val="38B76B07"/>
    <w:rsid w:val="3BA143D7"/>
    <w:rsid w:val="3DC9557E"/>
    <w:rsid w:val="3F6C112F"/>
    <w:rsid w:val="42E83C24"/>
    <w:rsid w:val="46E17548"/>
    <w:rsid w:val="48621D83"/>
    <w:rsid w:val="49020169"/>
    <w:rsid w:val="4AA771AB"/>
    <w:rsid w:val="4F296182"/>
    <w:rsid w:val="4F5D6BFA"/>
    <w:rsid w:val="4FCE23B2"/>
    <w:rsid w:val="55B27B29"/>
    <w:rsid w:val="58F307D5"/>
    <w:rsid w:val="5C0363C4"/>
    <w:rsid w:val="5C4A25C4"/>
    <w:rsid w:val="61056917"/>
    <w:rsid w:val="629372B1"/>
    <w:rsid w:val="629D1971"/>
    <w:rsid w:val="655F791E"/>
    <w:rsid w:val="65A86BCC"/>
    <w:rsid w:val="66937169"/>
    <w:rsid w:val="673F0EF0"/>
    <w:rsid w:val="6C3557FD"/>
    <w:rsid w:val="6D111E72"/>
    <w:rsid w:val="6F555B04"/>
    <w:rsid w:val="71836A48"/>
    <w:rsid w:val="728D539E"/>
    <w:rsid w:val="793D7B1F"/>
    <w:rsid w:val="7ACB216C"/>
    <w:rsid w:val="7B3A2568"/>
    <w:rsid w:val="7E3D04B2"/>
    <w:rsid w:val="7ED610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kern w:val="0"/>
      <w:sz w:val="20"/>
      <w:szCs w:val="20"/>
    </w:rPr>
  </w:style>
  <w:style w:type="paragraph" w:styleId="3">
    <w:name w:val="annotation text"/>
    <w:basedOn w:val="1"/>
    <w:qFormat/>
    <w:uiPriority w:val="0"/>
    <w:pPr>
      <w:jc w:val="left"/>
    </w:pPr>
  </w:style>
  <w:style w:type="paragraph" w:styleId="4">
    <w:name w:val="Body Text"/>
    <w:basedOn w:val="1"/>
    <w:next w:val="1"/>
    <w:qFormat/>
    <w:uiPriority w:val="99"/>
    <w:rPr>
      <w:sz w:val="21"/>
      <w:szCs w:val="21"/>
    </w:rPr>
  </w:style>
  <w:style w:type="paragraph" w:styleId="5">
    <w:name w:val="Body Text Indent"/>
    <w:basedOn w:val="1"/>
    <w:next w:val="6"/>
    <w:qFormat/>
    <w:uiPriority w:val="0"/>
    <w:pPr>
      <w:autoSpaceDE/>
      <w:autoSpaceDN/>
      <w:ind w:firstLine="570"/>
      <w:jc w:val="both"/>
    </w:pPr>
    <w:rPr>
      <w:rFonts w:ascii="Times New Roman" w:hAnsi="Times New Roman" w:cs="Times New Roman"/>
      <w:kern w:val="2"/>
      <w:sz w:val="28"/>
      <w:szCs w:val="20"/>
      <w:lang w:bidi="ar-SA"/>
    </w:rPr>
  </w:style>
  <w:style w:type="paragraph" w:styleId="6">
    <w:name w:val="envelope return"/>
    <w:basedOn w:val="1"/>
    <w:qFormat/>
    <w:uiPriority w:val="0"/>
    <w:pPr>
      <w:snapToGrid w:val="0"/>
    </w:pPr>
    <w:rPr>
      <w:rFonts w:ascii="Arial" w:hAnsi="Arial"/>
      <w:szCs w:val="24"/>
    </w:rPr>
  </w:style>
  <w:style w:type="paragraph" w:styleId="7">
    <w:name w:val="Balloon Text"/>
    <w:basedOn w:val="1"/>
    <w:link w:val="16"/>
    <w:qFormat/>
    <w:uiPriority w:val="0"/>
    <w:rPr>
      <w:rFonts w:ascii="Heiti SC Light" w:eastAsia="Heiti SC Light"/>
      <w:sz w:val="18"/>
      <w:szCs w:val="18"/>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rFonts w:cs="Times New Roman"/>
      <w:kern w:val="0"/>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26E5" w:themeColor="hyperlink"/>
      <w:u w:val="single"/>
      <w14:textFill>
        <w14:solidFill>
          <w14:schemeClr w14:val="hlink"/>
        </w14:solidFill>
      </w14:textFill>
    </w:rPr>
  </w:style>
  <w:style w:type="paragraph" w:customStyle="1" w:styleId="15">
    <w:name w:val="正文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16">
    <w:name w:val="批注框文本字符"/>
    <w:basedOn w:val="13"/>
    <w:link w:val="7"/>
    <w:qFormat/>
    <w:uiPriority w:val="0"/>
    <w:rPr>
      <w:rFonts w:ascii="Heiti SC Light" w:eastAsia="Heiti SC Light"/>
      <w:kern w:val="2"/>
      <w:sz w:val="18"/>
      <w:szCs w:val="18"/>
    </w:rPr>
  </w:style>
  <w:style w:type="paragraph" w:customStyle="1" w:styleId="17">
    <w:name w:val="表格文字"/>
    <w:basedOn w:val="5"/>
    <w:next w:val="4"/>
    <w:qFormat/>
    <w:uiPriority w:val="0"/>
    <w:pPr>
      <w:spacing w:before="25" w:after="25"/>
    </w:pPr>
    <w:rPr>
      <w:bCs/>
      <w:spacing w:val="1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6065</Words>
  <Characters>6318</Characters>
  <Lines>63</Lines>
  <Paragraphs>17</Paragraphs>
  <TotalTime>41</TotalTime>
  <ScaleCrop>false</ScaleCrop>
  <LinksUpToDate>false</LinksUpToDate>
  <CharactersWithSpaces>6355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2024-09-14T09:28:00Z</dcterms:created>
  <dc:creator>空间</dc:creator>
  <cp:lastModifiedBy>周泊利</cp:lastModifiedBy>
  <dcterms:modified xsi:type="dcterms:W3CDTF">2026-04-16T00:55:21Z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42ACB6532E94476FB69AF059001D8A01_13</vt:lpwstr>
  </property>
  <property fmtid="{D5CDD505-2E9C-101B-9397-08002B2CF9AE}" pid="4" name="KSOTemplateDocerSaveRecord">
    <vt:lpwstr>eyJoZGlkIjoiODU2ZTQ5MWY5ZTc5MWRiYTA5ZGI3NDQxZWM1ZWMyNzgiLCJ1c2VySWQiOiI1MjUwOTIyMDMifQ==</vt:lpwstr>
  </property>
</Properties>
</file>