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18BDB">
      <w:pPr>
        <w:jc w:val="center"/>
        <w:rPr>
          <w:rFonts w:hint="eastAsia" w:ascii="宋体" w:hAnsi="宋体" w:eastAsia="宋体" w:cs="宋体"/>
          <w:b/>
          <w:bCs/>
          <w:color w:val="auto"/>
          <w:sz w:val="44"/>
          <w:szCs w:val="44"/>
          <w:lang w:val="en-US" w:eastAsia="zh-Hans"/>
        </w:rPr>
      </w:pPr>
      <w:r>
        <w:rPr>
          <w:rFonts w:hint="eastAsia" w:ascii="宋体" w:hAnsi="宋体" w:eastAsia="宋体" w:cs="宋体"/>
          <w:b/>
          <w:bCs/>
          <w:color w:val="auto"/>
          <w:sz w:val="44"/>
          <w:szCs w:val="44"/>
          <w:lang w:val="en-US" w:eastAsia="zh-CN"/>
        </w:rPr>
        <w:t>需求</w:t>
      </w:r>
      <w:r>
        <w:rPr>
          <w:rFonts w:hint="eastAsia" w:ascii="宋体" w:hAnsi="宋体" w:eastAsia="宋体" w:cs="宋体"/>
          <w:b/>
          <w:bCs/>
          <w:color w:val="auto"/>
          <w:sz w:val="44"/>
          <w:szCs w:val="44"/>
          <w:lang w:val="en-US" w:eastAsia="zh-Hans"/>
        </w:rPr>
        <w:t>清单</w:t>
      </w:r>
    </w:p>
    <w:p w14:paraId="7F2DB8CF">
      <w:pPr>
        <w:jc w:val="center"/>
        <w:rPr>
          <w:rFonts w:hint="eastAsia" w:ascii="宋体" w:hAnsi="宋体" w:eastAsia="宋体" w:cs="宋体"/>
          <w:b/>
          <w:bCs/>
          <w:color w:val="auto"/>
          <w:sz w:val="44"/>
          <w:szCs w:val="44"/>
          <w:lang w:val="en-US" w:eastAsia="zh-Hans"/>
        </w:rPr>
      </w:pPr>
    </w:p>
    <w:tbl>
      <w:tblPr>
        <w:tblStyle w:val="14"/>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4"/>
        <w:gridCol w:w="4585"/>
      </w:tblGrid>
      <w:tr w14:paraId="744B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134" w:type="dxa"/>
            <w:shd w:val="clear" w:color="auto" w:fill="0070C0"/>
            <w:vAlign w:val="center"/>
          </w:tcPr>
          <w:p w14:paraId="0E39941A">
            <w:pPr>
              <w:widowControl/>
              <w:spacing w:line="240" w:lineRule="auto"/>
              <w:ind w:firstLine="0" w:firstLineChars="0"/>
              <w:jc w:val="center"/>
              <w:rPr>
                <w:rFonts w:hint="default" w:cs="宋体"/>
                <w:b/>
                <w:bCs/>
                <w:color w:val="FFFFFF" w:themeColor="background1"/>
                <w:kern w:val="0"/>
                <w:sz w:val="22"/>
                <w:szCs w:val="22"/>
                <w:lang w:val="en-US" w:eastAsia="zh-CN"/>
                <w14:textFill>
                  <w14:solidFill>
                    <w14:schemeClr w14:val="bg1"/>
                  </w14:solidFill>
                </w14:textFill>
              </w:rPr>
            </w:pPr>
            <w:r>
              <w:rPr>
                <w:rFonts w:hint="eastAsia" w:cs="宋体"/>
                <w:b/>
                <w:bCs/>
                <w:color w:val="FFFFFF" w:themeColor="background1"/>
                <w:kern w:val="0"/>
                <w:sz w:val="22"/>
                <w:szCs w:val="22"/>
                <w:lang w:val="en-US" w:eastAsia="zh-CN"/>
                <w14:textFill>
                  <w14:solidFill>
                    <w14:schemeClr w14:val="bg1"/>
                  </w14:solidFill>
                </w14:textFill>
              </w:rPr>
              <w:t>项目名称</w:t>
            </w:r>
          </w:p>
        </w:tc>
        <w:tc>
          <w:tcPr>
            <w:tcW w:w="4585" w:type="dxa"/>
            <w:shd w:val="clear" w:color="auto" w:fill="0070C0"/>
            <w:vAlign w:val="center"/>
          </w:tcPr>
          <w:p w14:paraId="17A9617F">
            <w:pPr>
              <w:widowControl/>
              <w:spacing w:line="240" w:lineRule="auto"/>
              <w:ind w:firstLine="0" w:firstLineChars="0"/>
              <w:jc w:val="center"/>
              <w:rPr>
                <w:rFonts w:hint="eastAsia" w:cs="宋体"/>
                <w:b/>
                <w:bCs/>
                <w:color w:val="FFFFFF" w:themeColor="background1"/>
                <w:kern w:val="0"/>
                <w:sz w:val="22"/>
                <w:szCs w:val="22"/>
                <w:lang w:val="en-US" w:eastAsia="zh-CN"/>
                <w14:textFill>
                  <w14:solidFill>
                    <w14:schemeClr w14:val="bg1"/>
                  </w14:solidFill>
                </w14:textFill>
              </w:rPr>
            </w:pPr>
            <w:r>
              <w:rPr>
                <w:rFonts w:hint="eastAsia" w:cs="宋体"/>
                <w:b/>
                <w:bCs/>
                <w:color w:val="FFFFFF" w:themeColor="background1"/>
                <w:kern w:val="0"/>
                <w:sz w:val="22"/>
                <w:szCs w:val="22"/>
                <w:lang w:val="en-US" w:eastAsia="zh-CN"/>
                <w14:textFill>
                  <w14:solidFill>
                    <w14:schemeClr w14:val="bg1"/>
                  </w14:solidFill>
                </w14:textFill>
              </w:rPr>
              <w:t>功能模块</w:t>
            </w:r>
          </w:p>
        </w:tc>
      </w:tr>
      <w:tr w14:paraId="6A6D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34" w:type="dxa"/>
            <w:vMerge w:val="restart"/>
            <w:vAlign w:val="center"/>
          </w:tcPr>
          <w:p w14:paraId="44D95CAA">
            <w:pPr>
              <w:widowControl/>
              <w:spacing w:line="460" w:lineRule="exact"/>
              <w:ind w:firstLine="0" w:firstLineChars="0"/>
              <w:jc w:val="center"/>
              <w:rPr>
                <w:rFonts w:hint="default" w:cs="宋体" w:eastAsiaTheme="minorEastAsia"/>
                <w:kern w:val="0"/>
                <w:sz w:val="21"/>
                <w:lang w:val="en-US" w:eastAsia="zh-CN"/>
              </w:rPr>
            </w:pPr>
            <w:r>
              <w:rPr>
                <w:rFonts w:hint="eastAsia" w:ascii="微软雅黑" w:hAnsi="微软雅黑" w:eastAsia="微软雅黑" w:cs="微软雅黑"/>
                <w:kern w:val="0"/>
                <w:sz w:val="21"/>
                <w:lang w:val="en-US" w:eastAsia="zh-CN"/>
              </w:rPr>
              <w:t>门诊智能审核项目</w:t>
            </w:r>
          </w:p>
        </w:tc>
        <w:tc>
          <w:tcPr>
            <w:tcW w:w="4585" w:type="dxa"/>
            <w:vAlign w:val="top"/>
          </w:tcPr>
          <w:p w14:paraId="6F0E0218">
            <w:pPr>
              <w:widowControl/>
              <w:spacing w:line="460" w:lineRule="exact"/>
              <w:ind w:firstLine="0" w:firstLineChars="0"/>
              <w:jc w:val="center"/>
              <w:rPr>
                <w:rFonts w:hint="default" w:cs="宋体" w:asciiTheme="minorHAnsi" w:hAnsiTheme="minorHAnsi" w:eastAsiaTheme="minorEastAsia"/>
                <w:kern w:val="0"/>
                <w:sz w:val="21"/>
                <w:szCs w:val="24"/>
                <w:lang w:val="en-US" w:eastAsia="zh-CN" w:bidi="ar-SA"/>
              </w:rPr>
            </w:pPr>
            <w:r>
              <w:rPr>
                <w:rFonts w:hint="eastAsia" w:ascii="微软雅黑" w:hAnsi="微软雅黑" w:eastAsia="微软雅黑" w:cs="微软雅黑"/>
                <w:i w:val="0"/>
                <w:iCs w:val="0"/>
                <w:color w:val="000000"/>
                <w:kern w:val="0"/>
                <w:sz w:val="22"/>
                <w:szCs w:val="22"/>
                <w:u w:val="none"/>
                <w:lang w:val="en-US" w:eastAsia="zh-CN" w:bidi="ar"/>
              </w:rPr>
              <w:t>规则管理</w:t>
            </w:r>
          </w:p>
        </w:tc>
      </w:tr>
      <w:tr w14:paraId="70DF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34" w:type="dxa"/>
            <w:vMerge w:val="continue"/>
          </w:tcPr>
          <w:p w14:paraId="3BF8B5AF">
            <w:pPr>
              <w:widowControl/>
              <w:spacing w:line="460" w:lineRule="exact"/>
              <w:ind w:firstLine="0" w:firstLineChars="0"/>
              <w:jc w:val="center"/>
              <w:rPr>
                <w:rFonts w:hint="eastAsia" w:cs="宋体"/>
                <w:kern w:val="0"/>
                <w:sz w:val="21"/>
                <w:lang w:val="en-US" w:eastAsia="zh-CN"/>
              </w:rPr>
            </w:pPr>
          </w:p>
        </w:tc>
        <w:tc>
          <w:tcPr>
            <w:tcW w:w="4585" w:type="dxa"/>
            <w:vAlign w:val="top"/>
          </w:tcPr>
          <w:p w14:paraId="7DD656FC">
            <w:pPr>
              <w:widowControl/>
              <w:spacing w:line="460" w:lineRule="exact"/>
              <w:ind w:firstLine="0" w:firstLineChars="0"/>
              <w:jc w:val="center"/>
              <w:rPr>
                <w:rFonts w:hint="eastAsia" w:cs="宋体"/>
                <w:kern w:val="0"/>
                <w:sz w:val="21"/>
                <w:lang w:val="en-US" w:eastAsia="zh-CN"/>
              </w:rPr>
            </w:pPr>
            <w:r>
              <w:rPr>
                <w:rFonts w:hint="eastAsia" w:ascii="微软雅黑" w:hAnsi="微软雅黑" w:eastAsia="微软雅黑" w:cs="微软雅黑"/>
                <w:i w:val="0"/>
                <w:iCs w:val="0"/>
                <w:color w:val="000000"/>
                <w:kern w:val="0"/>
                <w:sz w:val="22"/>
                <w:szCs w:val="22"/>
                <w:u w:val="none"/>
                <w:lang w:val="en-US" w:eastAsia="zh-CN" w:bidi="ar"/>
              </w:rPr>
              <w:t>过程监管</w:t>
            </w:r>
          </w:p>
        </w:tc>
      </w:tr>
      <w:tr w14:paraId="6B1A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34" w:type="dxa"/>
            <w:vMerge w:val="continue"/>
          </w:tcPr>
          <w:p w14:paraId="464653A0">
            <w:pPr>
              <w:widowControl/>
              <w:spacing w:line="460" w:lineRule="exact"/>
              <w:ind w:firstLine="0" w:firstLineChars="0"/>
              <w:jc w:val="center"/>
              <w:rPr>
                <w:rFonts w:hint="eastAsia" w:cs="宋体"/>
                <w:kern w:val="0"/>
                <w:sz w:val="21"/>
                <w:lang w:val="en-US" w:eastAsia="zh-CN"/>
              </w:rPr>
            </w:pPr>
          </w:p>
        </w:tc>
        <w:tc>
          <w:tcPr>
            <w:tcW w:w="4585" w:type="dxa"/>
            <w:vAlign w:val="top"/>
          </w:tcPr>
          <w:p w14:paraId="19AA9B7B">
            <w:pPr>
              <w:widowControl/>
              <w:spacing w:line="460" w:lineRule="exact"/>
              <w:ind w:firstLine="0" w:firstLineChars="0"/>
              <w:jc w:val="center"/>
              <w:rPr>
                <w:rFonts w:hint="eastAsia" w:cs="宋体"/>
                <w:kern w:val="0"/>
                <w:sz w:val="21"/>
                <w:lang w:val="en-US" w:eastAsia="zh-CN"/>
              </w:rPr>
            </w:pPr>
            <w:r>
              <w:rPr>
                <w:rFonts w:hint="eastAsia" w:ascii="微软雅黑" w:hAnsi="微软雅黑" w:eastAsia="微软雅黑" w:cs="微软雅黑"/>
                <w:i w:val="0"/>
                <w:iCs w:val="0"/>
                <w:color w:val="000000"/>
                <w:kern w:val="0"/>
                <w:sz w:val="22"/>
                <w:szCs w:val="22"/>
                <w:u w:val="none"/>
                <w:lang w:val="en-US" w:eastAsia="zh-CN" w:bidi="ar"/>
              </w:rPr>
              <w:t>医保申诉</w:t>
            </w:r>
          </w:p>
        </w:tc>
      </w:tr>
      <w:tr w14:paraId="6948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34" w:type="dxa"/>
            <w:vMerge w:val="continue"/>
          </w:tcPr>
          <w:p w14:paraId="1312E5A4">
            <w:pPr>
              <w:widowControl/>
              <w:spacing w:line="460" w:lineRule="exact"/>
              <w:ind w:firstLine="0" w:firstLineChars="0"/>
              <w:jc w:val="center"/>
              <w:rPr>
                <w:rFonts w:hint="eastAsia" w:cs="宋体"/>
                <w:kern w:val="0"/>
                <w:sz w:val="21"/>
                <w:lang w:val="en-US" w:eastAsia="zh-CN"/>
              </w:rPr>
            </w:pPr>
          </w:p>
        </w:tc>
        <w:tc>
          <w:tcPr>
            <w:tcW w:w="4585" w:type="dxa"/>
            <w:vAlign w:val="top"/>
          </w:tcPr>
          <w:p w14:paraId="17A3A97F">
            <w:pPr>
              <w:widowControl/>
              <w:spacing w:line="460" w:lineRule="exact"/>
              <w:ind w:firstLine="0" w:firstLineChars="0"/>
              <w:jc w:val="center"/>
              <w:rPr>
                <w:rFonts w:hint="eastAsia" w:cs="宋体"/>
                <w:kern w:val="0"/>
                <w:sz w:val="21"/>
                <w:lang w:val="en-US" w:eastAsia="zh-CN"/>
              </w:rPr>
            </w:pPr>
            <w:r>
              <w:rPr>
                <w:rFonts w:hint="eastAsia" w:ascii="微软雅黑" w:hAnsi="微软雅黑" w:eastAsia="微软雅黑" w:cs="微软雅黑"/>
                <w:i w:val="0"/>
                <w:iCs w:val="0"/>
                <w:color w:val="000000"/>
                <w:kern w:val="0"/>
                <w:sz w:val="22"/>
                <w:szCs w:val="22"/>
                <w:u w:val="none"/>
                <w:lang w:val="en-US" w:eastAsia="zh-CN" w:bidi="ar"/>
              </w:rPr>
              <w:t>决策分析</w:t>
            </w:r>
          </w:p>
        </w:tc>
      </w:tr>
      <w:tr w14:paraId="5E73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34" w:type="dxa"/>
            <w:vMerge w:val="restart"/>
            <w:vAlign w:val="center"/>
          </w:tcPr>
          <w:p w14:paraId="171FED09">
            <w:pPr>
              <w:widowControl/>
              <w:spacing w:line="460" w:lineRule="exact"/>
              <w:ind w:firstLine="0" w:firstLineChars="0"/>
              <w:jc w:val="center"/>
              <w:rPr>
                <w:rFonts w:hint="eastAsia" w:ascii="微软雅黑" w:hAnsi="微软雅黑" w:eastAsia="微软雅黑" w:cs="微软雅黑"/>
                <w:kern w:val="0"/>
                <w:sz w:val="21"/>
                <w:lang w:val="en-US" w:eastAsia="zh-CN"/>
              </w:rPr>
            </w:pPr>
            <w:r>
              <w:rPr>
                <w:rFonts w:hint="eastAsia" w:ascii="微软雅黑" w:hAnsi="微软雅黑" w:eastAsia="微软雅黑" w:cs="微软雅黑"/>
                <w:kern w:val="0"/>
                <w:sz w:val="21"/>
                <w:lang w:val="en-US" w:eastAsia="zh-CN"/>
              </w:rPr>
              <w:t>DIP系统运维服务</w:t>
            </w:r>
          </w:p>
        </w:tc>
        <w:tc>
          <w:tcPr>
            <w:tcW w:w="4585" w:type="dxa"/>
            <w:vAlign w:val="center"/>
          </w:tcPr>
          <w:p w14:paraId="160C40D8">
            <w:pPr>
              <w:widowControl/>
              <w:spacing w:line="460" w:lineRule="exact"/>
              <w:ind w:firstLine="0" w:firstLineChars="0"/>
              <w:jc w:val="center"/>
              <w:rPr>
                <w:rFonts w:hint="eastAsia" w:ascii="微软雅黑" w:hAnsi="微软雅黑" w:eastAsia="微软雅黑" w:cs="微软雅黑"/>
                <w:kern w:val="0"/>
                <w:sz w:val="21"/>
                <w:lang w:val="en-US" w:eastAsia="zh-CN"/>
              </w:rPr>
            </w:pPr>
            <w:r>
              <w:rPr>
                <w:rFonts w:hint="eastAsia" w:ascii="微软雅黑" w:hAnsi="微软雅黑" w:eastAsia="微软雅黑" w:cs="微软雅黑"/>
                <w:kern w:val="0"/>
                <w:sz w:val="21"/>
                <w:lang w:val="en-US" w:eastAsia="zh-CN"/>
              </w:rPr>
              <w:t>系统常规运维服务</w:t>
            </w:r>
          </w:p>
        </w:tc>
      </w:tr>
      <w:tr w14:paraId="53BE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34" w:type="dxa"/>
            <w:vMerge w:val="continue"/>
          </w:tcPr>
          <w:p w14:paraId="01727235">
            <w:pPr>
              <w:widowControl/>
              <w:spacing w:line="460" w:lineRule="exact"/>
              <w:ind w:firstLine="0" w:firstLineChars="0"/>
              <w:jc w:val="center"/>
              <w:rPr>
                <w:rFonts w:hint="eastAsia" w:ascii="微软雅黑" w:hAnsi="微软雅黑" w:eastAsia="微软雅黑" w:cs="微软雅黑"/>
                <w:kern w:val="0"/>
                <w:sz w:val="21"/>
                <w:lang w:val="en-US" w:eastAsia="zh-CN"/>
              </w:rPr>
            </w:pPr>
          </w:p>
        </w:tc>
        <w:tc>
          <w:tcPr>
            <w:tcW w:w="4585" w:type="dxa"/>
            <w:vAlign w:val="center"/>
          </w:tcPr>
          <w:p w14:paraId="53C5821B">
            <w:pPr>
              <w:widowControl/>
              <w:spacing w:line="460" w:lineRule="exact"/>
              <w:ind w:firstLine="0" w:firstLineChars="0"/>
              <w:jc w:val="center"/>
              <w:rPr>
                <w:rFonts w:hint="eastAsia" w:ascii="微软雅黑" w:hAnsi="微软雅黑" w:eastAsia="微软雅黑" w:cs="微软雅黑"/>
                <w:kern w:val="0"/>
                <w:sz w:val="21"/>
                <w:lang w:val="en-US" w:eastAsia="zh-CN"/>
              </w:rPr>
            </w:pPr>
            <w:r>
              <w:rPr>
                <w:rFonts w:hint="eastAsia" w:ascii="微软雅黑" w:hAnsi="微软雅黑" w:eastAsia="微软雅黑" w:cs="微软雅黑"/>
                <w:kern w:val="0"/>
                <w:sz w:val="21"/>
                <w:lang w:val="en-US" w:eastAsia="zh-CN"/>
              </w:rPr>
              <w:t>政策维护专项服务</w:t>
            </w:r>
          </w:p>
        </w:tc>
      </w:tr>
      <w:tr w14:paraId="1DA9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4134" w:type="dxa"/>
            <w:vMerge w:val="continue"/>
          </w:tcPr>
          <w:p w14:paraId="3CAB6323">
            <w:pPr>
              <w:widowControl/>
              <w:spacing w:line="460" w:lineRule="exact"/>
              <w:ind w:firstLine="0" w:firstLineChars="0"/>
              <w:jc w:val="center"/>
              <w:rPr>
                <w:rFonts w:hint="eastAsia" w:ascii="微软雅黑" w:hAnsi="微软雅黑" w:eastAsia="微软雅黑" w:cs="微软雅黑"/>
                <w:kern w:val="0"/>
                <w:sz w:val="21"/>
                <w:lang w:val="en-US" w:eastAsia="zh-CN"/>
              </w:rPr>
            </w:pPr>
          </w:p>
        </w:tc>
        <w:tc>
          <w:tcPr>
            <w:tcW w:w="4585" w:type="dxa"/>
            <w:vAlign w:val="center"/>
          </w:tcPr>
          <w:p w14:paraId="10D0E1DD">
            <w:pPr>
              <w:widowControl/>
              <w:spacing w:line="460" w:lineRule="exact"/>
              <w:ind w:firstLine="0" w:firstLineChars="0"/>
              <w:jc w:val="center"/>
              <w:rPr>
                <w:rFonts w:hint="eastAsia" w:ascii="微软雅黑" w:hAnsi="微软雅黑" w:eastAsia="微软雅黑" w:cs="微软雅黑"/>
                <w:kern w:val="0"/>
                <w:sz w:val="21"/>
                <w:lang w:val="en-US" w:eastAsia="zh-CN"/>
              </w:rPr>
            </w:pPr>
            <w:r>
              <w:rPr>
                <w:rFonts w:hint="eastAsia" w:ascii="微软雅黑" w:hAnsi="微软雅黑" w:eastAsia="微软雅黑" w:cs="微软雅黑"/>
                <w:kern w:val="0"/>
                <w:sz w:val="21"/>
                <w:lang w:val="en-US" w:eastAsia="zh-CN"/>
              </w:rPr>
              <w:t>产品升级服务</w:t>
            </w:r>
          </w:p>
        </w:tc>
      </w:tr>
      <w:tr w14:paraId="340D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134" w:type="dxa"/>
            <w:vMerge w:val="continue"/>
          </w:tcPr>
          <w:p w14:paraId="217518D3">
            <w:pPr>
              <w:widowControl/>
              <w:spacing w:line="460" w:lineRule="exact"/>
              <w:ind w:firstLine="0" w:firstLineChars="0"/>
              <w:jc w:val="center"/>
              <w:rPr>
                <w:rFonts w:hint="eastAsia" w:ascii="微软雅黑" w:hAnsi="微软雅黑" w:eastAsia="微软雅黑" w:cs="微软雅黑"/>
                <w:kern w:val="0"/>
                <w:sz w:val="21"/>
                <w:lang w:val="en-US" w:eastAsia="zh-CN"/>
              </w:rPr>
            </w:pPr>
          </w:p>
        </w:tc>
        <w:tc>
          <w:tcPr>
            <w:tcW w:w="4585" w:type="dxa"/>
            <w:vAlign w:val="center"/>
          </w:tcPr>
          <w:p w14:paraId="656A690E">
            <w:pPr>
              <w:widowControl/>
              <w:spacing w:line="460" w:lineRule="exact"/>
              <w:ind w:firstLine="0" w:firstLineChars="0"/>
              <w:jc w:val="center"/>
              <w:rPr>
                <w:rFonts w:hint="eastAsia" w:ascii="微软雅黑" w:hAnsi="微软雅黑" w:eastAsia="微软雅黑" w:cs="微软雅黑"/>
                <w:kern w:val="0"/>
                <w:sz w:val="21"/>
                <w:lang w:val="en-US" w:eastAsia="zh-CN"/>
              </w:rPr>
            </w:pPr>
            <w:r>
              <w:rPr>
                <w:rFonts w:hint="eastAsia" w:ascii="微软雅黑" w:hAnsi="微软雅黑" w:eastAsia="微软雅黑" w:cs="微软雅黑"/>
                <w:kern w:val="0"/>
                <w:sz w:val="21"/>
                <w:lang w:val="en-US" w:eastAsia="zh-CN"/>
              </w:rPr>
              <w:t>上门巡检及分析服务</w:t>
            </w:r>
          </w:p>
        </w:tc>
      </w:tr>
    </w:tbl>
    <w:p w14:paraId="56A290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rPr>
      </w:pPr>
    </w:p>
    <w:p w14:paraId="14128941">
      <w:pPr>
        <w:rPr>
          <w:rFonts w:hint="default" w:ascii="宋体" w:hAnsi="宋体" w:eastAsia="宋体" w:cs="宋体"/>
          <w:b/>
          <w:i w:val="0"/>
          <w:color w:val="auto"/>
          <w:kern w:val="0"/>
          <w:sz w:val="24"/>
          <w:szCs w:val="24"/>
          <w:u w:val="none"/>
          <w:lang w:val="en-US" w:eastAsia="zh-CN" w:bidi="ar"/>
        </w:rPr>
      </w:pPr>
    </w:p>
    <w:p w14:paraId="58F935E6">
      <w:pPr>
        <w:rPr>
          <w:rFonts w:hint="default" w:ascii="宋体" w:hAnsi="宋体" w:eastAsia="宋体" w:cs="宋体"/>
          <w:b/>
          <w:i w:val="0"/>
          <w:color w:val="auto"/>
          <w:kern w:val="0"/>
          <w:sz w:val="24"/>
          <w:szCs w:val="24"/>
          <w:u w:val="none"/>
          <w:lang w:val="en-US" w:eastAsia="zh-CN" w:bidi="ar"/>
        </w:rPr>
      </w:pPr>
    </w:p>
    <w:p w14:paraId="1B754161">
      <w:pPr>
        <w:rPr>
          <w:rFonts w:hint="default" w:ascii="宋体" w:hAnsi="宋体" w:eastAsia="宋体" w:cs="宋体"/>
          <w:b/>
          <w:i w:val="0"/>
          <w:color w:val="auto"/>
          <w:kern w:val="0"/>
          <w:sz w:val="24"/>
          <w:szCs w:val="24"/>
          <w:u w:val="none"/>
          <w:lang w:val="en-US" w:eastAsia="zh-CN" w:bidi="ar"/>
        </w:rPr>
      </w:pPr>
    </w:p>
    <w:p w14:paraId="28D6AF27">
      <w:pPr>
        <w:rPr>
          <w:rFonts w:hint="default" w:ascii="宋体" w:hAnsi="宋体" w:eastAsia="宋体" w:cs="宋体"/>
          <w:b/>
          <w:i w:val="0"/>
          <w:color w:val="auto"/>
          <w:kern w:val="0"/>
          <w:sz w:val="24"/>
          <w:szCs w:val="24"/>
          <w:u w:val="none"/>
          <w:lang w:val="en-US" w:eastAsia="zh-CN" w:bidi="ar"/>
        </w:rPr>
      </w:pPr>
    </w:p>
    <w:tbl>
      <w:tblPr>
        <w:tblStyle w:val="13"/>
        <w:tblW w:w="867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1500"/>
        <w:gridCol w:w="6409"/>
      </w:tblGrid>
      <w:tr w14:paraId="3AF2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D5E9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需求清单</w:t>
            </w:r>
          </w:p>
        </w:tc>
      </w:tr>
      <w:tr w14:paraId="144F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91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模块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D7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0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功能描述</w:t>
            </w:r>
          </w:p>
        </w:tc>
      </w:tr>
      <w:tr w14:paraId="18BA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954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规则管理</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96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元素维护</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98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系统支持元素维护管理，为药品医保限制规则配置提供元素支撑</w:t>
            </w:r>
          </w:p>
        </w:tc>
      </w:tr>
      <w:tr w14:paraId="27B3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2540A">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规则类型管理</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E31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医保智能审核规则类型支持规范化、标准化、体系化配置管理</w:t>
            </w:r>
          </w:p>
        </w:tc>
      </w:tr>
      <w:tr w14:paraId="610DF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508D2">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A0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规则版本管理</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D8A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根据医保目录、省级/市级医保物价收费目录、医保政策要求、医保两库管理要求、医保飞行检查监管要求、医保专家经验等制定医院医保智能审核监控规则，制定规则版本，满足同一规则的不同场景应用要求，提升管理灵活性。</w:t>
            </w:r>
          </w:p>
        </w:tc>
      </w:tr>
      <w:tr w14:paraId="6AD9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715F">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8C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规则配置管理</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96D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通过规则配置管理实现规则查询、新增、修改编辑、批量导入、复制规则、继承规则、启用与禁用规则、编写完成规则、生成执行规则等综合一体化规则管理功能服务。</w:t>
            </w:r>
          </w:p>
        </w:tc>
      </w:tr>
      <w:tr w14:paraId="6537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DE0B">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4E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执行规则管理</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548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查看医疗机构正在执行使用的所有规则，支持批量启用与停用、规则等级（阻停、预警、提醒）修改配置管理</w:t>
            </w:r>
          </w:p>
        </w:tc>
      </w:tr>
      <w:tr w14:paraId="356E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CFF30">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E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业务场景规则配置</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8CE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系统内置住院医嘱预审、住院费用预审、转科预审、预出院审核、医保结算预审、门诊处方预审业务场景</w:t>
            </w:r>
          </w:p>
        </w:tc>
      </w:tr>
      <w:tr w14:paraId="2468A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0F24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过程监管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12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在院病例追踪</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EE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提供在院病例住院全过程智能审核日志追踪查询（包含医嘱预审、费用审核、转科预审、预出院审核、医保结算预审）</w:t>
            </w:r>
          </w:p>
        </w:tc>
      </w:tr>
      <w:tr w14:paraId="2175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C1650">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5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出院病例追踪</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ADA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提供出院病例住院全过程智能审核日志追踪查询。一方面在医嘱预审、费用审核、转科预审、预出院审核、医保结算预审各个审核环节记录审核提醒日志</w:t>
            </w:r>
          </w:p>
        </w:tc>
      </w:tr>
      <w:tr w14:paraId="0D131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230E3">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E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科室遵从率分析</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0D2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分析科室以及医生对于在诊疗过程中系统提醒的疑似医保违规问题的认同和采纳情况</w:t>
            </w:r>
          </w:p>
        </w:tc>
      </w:tr>
      <w:tr w14:paraId="17D3C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A0F7">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5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规则遵从率分析</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E48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从规则的维度，统计各科室指定时间段内对于医嘱预审、费用审核、转科预审、预出院审核、医保结算预审等各环节的医保疑似违规提醒的遵从情况。</w:t>
            </w:r>
          </w:p>
        </w:tc>
      </w:tr>
      <w:tr w14:paraId="6989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C4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医保申诉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AB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医保申诉任务分配</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2E9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根据当地医保部门反馈的病人可疑违规数据文件导入系统，并自动下发至临床科生成待申诉处理任务，临床科室接收任务后可进行申诉处理，由申诉审核人员进行审核，最终医保申诉管理人员将已完成任务一键导出形成申诉材料，方便在医保系统进行医保申诉。</w:t>
            </w:r>
          </w:p>
        </w:tc>
      </w:tr>
      <w:tr w14:paraId="5F428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C8448">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C2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医保申诉任务处理</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7F1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临床医生接收医保下发任务后，在“待处理任务”列表查看进行申诉处理，医生依据病人实际诊疗过程数据及医保反馈的病人出院诊断、违规行为分类、规则严重程度、违规项目、违规金额、违规规则、违规描述等可疑违规信息，人工自主判定申诉处理结果（不申诉/申诉），补充填写相关理由，并收集整理上传申诉材料，完成申诉处理。同时，审核驳回任务标红显示，鼠标悬停标记红点可查看审核人、审核时间、审核驳回原因等审核驳回信息，方便临床医生有针对性调整医保申诉方案并重新发起医保申诉申请。另一方面临床医生可在“我的处理日志”中查看个人历史申诉处理的记录，为事后临床医生与医保审核沟通医保申诉要点，提供查找医保申诉沟通依据，从而提升临床医生与医保双方沟通效率。</w:t>
            </w:r>
          </w:p>
        </w:tc>
      </w:tr>
      <w:tr w14:paraId="0B25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D9587">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5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医保申诉任务审核</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A77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医保科收到临床医生提交的医保申诉任务后，在“待审核任务”列表查看进行审核处理，医保科审核人员依据医保反馈的病人可疑违规信息及医生申诉处理结果、申诉理由及相关申诉材料信息，审核处理临床提交的医保申诉任务。同时，对于医保审核驳回的申诉任务，临床医生完善申诉理由与申诉材料后重新发起医保申诉任务后，重新申诉信息的任务会标红显示，鼠标悬停标记红点可查看申诉人、申诉时间、申诉理由等重新申诉信息，方便医保审核人员有针对性审核处理，提升审核效率。另一方面医保审核人员可在“我的审核日志”中查看个人历史审核处理的记录，为事后医保审核人员与临床医生沟通医保申诉要点，提供查找医保申诉沟通依据，从而提升医保审核人员与临床医生双方沟通效率。</w:t>
            </w:r>
          </w:p>
        </w:tc>
      </w:tr>
      <w:tr w14:paraId="14BD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4A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决策分析</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A5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在院病例预审分析</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03D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科室在院病例每晚预审结果监控查询</w:t>
            </w:r>
          </w:p>
        </w:tc>
      </w:tr>
      <w:tr w14:paraId="05B3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60F47">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2C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出院病例审核概览</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A34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针对出院病例从科室、医生、违规类型等维度进行可疑违规人次、可疑违规费用、可疑违规规则、可疑违规类型等数据统计和分析。</w:t>
            </w:r>
          </w:p>
        </w:tc>
      </w:tr>
      <w:tr w14:paraId="7997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D58D">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E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科室病例审核分析</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41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主要针对出院病人从科室维度进行可疑违规人次、可疑违规费用数据统计和分析，支持列表和图表两种展现方式。</w:t>
            </w:r>
          </w:p>
        </w:tc>
      </w:tr>
      <w:tr w14:paraId="0DE5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8738">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7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病例审核结果分析</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0C7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主要针对出院病人从病人维度进行可疑违规人次、可疑违规费用、可疑违规原因等数据统计和分析。</w:t>
            </w:r>
          </w:p>
        </w:tc>
      </w:tr>
      <w:tr w14:paraId="4150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6A01">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80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智能审核效果分析</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569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以住院过程审核提醒人次（如医嘱预审提醒、费用审核提醒、转科提醒、预出院提醒、医保结算提醒环节场景的提醒）为基础，将出院提醒与住院过程提醒的结果比对</w:t>
            </w:r>
          </w:p>
        </w:tc>
      </w:tr>
      <w:tr w14:paraId="537F9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E97A2">
            <w:pPr>
              <w:jc w:val="center"/>
              <w:rPr>
                <w:rFonts w:hint="eastAsia" w:ascii="宋体" w:hAnsi="宋体" w:eastAsia="宋体" w:cs="宋体"/>
                <w:i w:val="0"/>
                <w:iCs w:val="0"/>
                <w:color w:val="000000"/>
                <w:sz w:val="21"/>
                <w:szCs w:val="21"/>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08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智能审核综合分析</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9D6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系统支持从概览、药品、耗材、项目、疾病、规则、科室、医生多视角全维度进行智能审核应用分析。</w:t>
            </w:r>
          </w:p>
        </w:tc>
      </w:tr>
    </w:tbl>
    <w:p w14:paraId="2DB823D6">
      <w:pPr>
        <w:spacing w:line="360" w:lineRule="auto"/>
        <w:rPr>
          <w:rFonts w:hint="default" w:ascii="宋体" w:hAnsi="宋体" w:eastAsia="宋体" w:cs="宋体"/>
          <w:b/>
          <w:i w:val="0"/>
          <w:color w:val="auto"/>
          <w:kern w:val="0"/>
          <w:sz w:val="24"/>
          <w:szCs w:val="24"/>
          <w:u w:val="none"/>
          <w:lang w:val="en-US" w:eastAsia="zh-CN" w:bidi="ar"/>
        </w:rPr>
      </w:pPr>
    </w:p>
    <w:p w14:paraId="7A1F65F7">
      <w:pPr>
        <w:spacing w:line="360" w:lineRule="auto"/>
        <w:rPr>
          <w:rFonts w:hint="default" w:ascii="宋体" w:hAnsi="宋体" w:eastAsia="宋体" w:cs="宋体"/>
          <w:b/>
          <w:i w:val="0"/>
          <w:color w:val="auto"/>
          <w:kern w:val="0"/>
          <w:sz w:val="24"/>
          <w:szCs w:val="24"/>
          <w:u w:val="none"/>
          <w:lang w:val="en-US" w:eastAsia="zh-CN" w:bidi="ar"/>
        </w:rPr>
      </w:pPr>
    </w:p>
    <w:p w14:paraId="0C03A0A4">
      <w:pPr>
        <w:spacing w:line="360" w:lineRule="auto"/>
        <w:rPr>
          <w:rFonts w:hint="default" w:ascii="宋体" w:hAnsi="宋体" w:eastAsia="宋体" w:cs="宋体"/>
          <w:b/>
          <w:i w:val="0"/>
          <w:color w:val="auto"/>
          <w:kern w:val="0"/>
          <w:sz w:val="24"/>
          <w:szCs w:val="24"/>
          <w:u w:val="none"/>
          <w:lang w:val="en-US" w:eastAsia="zh-CN" w:bidi="ar"/>
        </w:rPr>
      </w:pPr>
    </w:p>
    <w:tbl>
      <w:tblPr>
        <w:tblStyle w:val="13"/>
        <w:tblW w:w="86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1514"/>
        <w:gridCol w:w="6409"/>
      </w:tblGrid>
      <w:tr w14:paraId="4A3FA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8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805A27">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bookmarkStart w:id="0" w:name="_GoBack"/>
            <w:bookmarkEnd w:id="0"/>
            <w:r>
              <w:rPr>
                <w:rFonts w:hint="eastAsia" w:ascii="宋体" w:hAnsi="宋体" w:eastAsia="宋体" w:cs="宋体"/>
                <w:b/>
                <w:bCs/>
                <w:i w:val="0"/>
                <w:iCs w:val="0"/>
                <w:color w:val="000000"/>
                <w:kern w:val="0"/>
                <w:sz w:val="32"/>
                <w:szCs w:val="32"/>
                <w:u w:val="none"/>
                <w:lang w:val="en-US" w:eastAsia="zh-CN" w:bidi="ar"/>
              </w:rPr>
              <w:t>DIP管理平台运维服务清单</w:t>
            </w:r>
          </w:p>
        </w:tc>
      </w:tr>
      <w:tr w14:paraId="65130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restart"/>
            <w:tcBorders>
              <w:top w:val="single" w:color="000000" w:sz="4" w:space="0"/>
              <w:left w:val="single" w:color="000000" w:sz="4" w:space="0"/>
              <w:right w:val="single" w:color="000000" w:sz="4" w:space="0"/>
            </w:tcBorders>
            <w:shd w:val="clear" w:color="auto" w:fill="auto"/>
            <w:vAlign w:val="center"/>
          </w:tcPr>
          <w:p w14:paraId="703DBABA">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r>
              <w:rPr>
                <w:rFonts w:hint="eastAsia" w:ascii="微软雅黑" w:hAnsi="微软雅黑" w:eastAsia="微软雅黑" w:cs="微软雅黑"/>
                <w:i w:val="0"/>
                <w:iCs w:val="0"/>
                <w:color w:val="000000"/>
                <w:kern w:val="0"/>
                <w:sz w:val="22"/>
                <w:szCs w:val="22"/>
                <w:u w:val="none"/>
                <w:lang w:val="en-US" w:eastAsia="zh-CN" w:bidi="ar"/>
              </w:rPr>
              <w:t>运维服务</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8B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服务名称</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113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服务描述</w:t>
            </w:r>
          </w:p>
        </w:tc>
      </w:tr>
      <w:tr w14:paraId="28AB2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left w:val="single" w:color="000000" w:sz="4" w:space="0"/>
              <w:right w:val="single" w:color="000000" w:sz="4" w:space="0"/>
            </w:tcBorders>
            <w:shd w:val="clear" w:color="auto" w:fill="auto"/>
            <w:vAlign w:val="center"/>
          </w:tcPr>
          <w:p w14:paraId="316111B3">
            <w:pPr>
              <w:keepNext w:val="0"/>
              <w:keepLines w:val="0"/>
              <w:widowControl/>
              <w:suppressLineNumbers w:val="0"/>
              <w:jc w:val="center"/>
              <w:textAlignment w:val="center"/>
              <w:rPr>
                <w:rFonts w:hint="default" w:ascii="微软雅黑" w:hAnsi="微软雅黑" w:eastAsia="微软雅黑" w:cs="微软雅黑"/>
                <w:i w:val="0"/>
                <w:iCs w:val="0"/>
                <w:color w:val="000000"/>
                <w:sz w:val="22"/>
                <w:szCs w:val="22"/>
                <w:u w:val="none"/>
                <w:lang w:val="en-US"/>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A517">
            <w:pPr>
              <w:widowControl/>
              <w:spacing w:line="460" w:lineRule="exact"/>
              <w:ind w:firstLine="0" w:firstLineChars="0"/>
              <w:jc w:val="center"/>
              <w:rPr>
                <w:rFonts w:hint="default" w:ascii="宋体" w:hAnsi="宋体"/>
                <w:bCs/>
                <w:szCs w:val="21"/>
                <w:lang w:val="en-US"/>
              </w:rPr>
            </w:pPr>
            <w:r>
              <w:rPr>
                <w:rFonts w:hint="eastAsia" w:ascii="微软雅黑" w:hAnsi="微软雅黑" w:eastAsia="微软雅黑" w:cs="微软雅黑"/>
                <w:kern w:val="0"/>
                <w:sz w:val="21"/>
                <w:lang w:val="en-US" w:eastAsia="zh-CN"/>
              </w:rPr>
              <w:t>系统常规运维服务</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AB241">
            <w:pPr>
              <w:rPr>
                <w:rFonts w:hint="eastAsia" w:ascii="宋体" w:hAnsi="宋体" w:eastAsiaTheme="minorEastAsia"/>
                <w:bCs/>
                <w:szCs w:val="21"/>
                <w:lang w:val="en-US" w:eastAsia="zh-CN"/>
              </w:rPr>
            </w:pPr>
            <w:r>
              <w:rPr>
                <w:rFonts w:hint="eastAsia"/>
              </w:rPr>
              <w:t>产品在</w:t>
            </w:r>
            <w:r>
              <w:rPr>
                <w:rFonts w:hint="eastAsia"/>
                <w:lang w:val="en-US" w:eastAsia="zh-CN"/>
              </w:rPr>
              <w:t>维护期内</w:t>
            </w:r>
            <w:r>
              <w:rPr>
                <w:rFonts w:hint="eastAsia"/>
              </w:rPr>
              <w:t>，由于在系统设计、软件BUG等技术</w:t>
            </w:r>
            <w:r>
              <w:rPr>
                <w:rFonts w:hint="eastAsia"/>
                <w:lang w:val="en-US" w:eastAsia="zh-CN"/>
              </w:rPr>
              <w:t>问题及与HIS对接的数据</w:t>
            </w:r>
            <w:r>
              <w:rPr>
                <w:rFonts w:hint="eastAsia"/>
              </w:rPr>
              <w:t>问题而影响系统正常运行，即时解决产品存在的各种问题。为系统正常运行提供技术支持，提供24小时的热线支持，在系统发生重大故障时，中标方技术人员须在</w:t>
            </w:r>
            <w:r>
              <w:rPr>
                <w:rFonts w:hint="eastAsia"/>
                <w:lang w:val="en-US" w:eastAsia="zh-CN"/>
              </w:rPr>
              <w:t>8</w:t>
            </w:r>
            <w:r>
              <w:rPr>
                <w:rFonts w:hint="eastAsia"/>
              </w:rPr>
              <w:t>小时内到达医院现场，并于抵达现场后在4</w:t>
            </w:r>
            <w:r>
              <w:t>8</w:t>
            </w:r>
            <w:r>
              <w:rPr>
                <w:rFonts w:hint="eastAsia"/>
              </w:rPr>
              <w:t>小时内完全解决故障。</w:t>
            </w:r>
          </w:p>
        </w:tc>
      </w:tr>
      <w:tr w14:paraId="7EA4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left w:val="single" w:color="000000" w:sz="4" w:space="0"/>
              <w:right w:val="single" w:color="000000" w:sz="4" w:space="0"/>
            </w:tcBorders>
            <w:shd w:val="clear" w:color="auto" w:fill="auto"/>
            <w:vAlign w:val="center"/>
          </w:tcPr>
          <w:p w14:paraId="5B602CFC">
            <w:pPr>
              <w:jc w:val="center"/>
              <w:rPr>
                <w:rFonts w:hint="eastAsia" w:ascii="微软雅黑" w:hAnsi="微软雅黑" w:eastAsia="微软雅黑" w:cs="微软雅黑"/>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3657">
            <w:pPr>
              <w:widowControl/>
              <w:spacing w:line="460" w:lineRule="exact"/>
              <w:ind w:firstLine="0" w:firstLineChars="0"/>
              <w:jc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kern w:val="0"/>
                <w:sz w:val="21"/>
                <w:lang w:val="en-US" w:eastAsia="zh-CN"/>
              </w:rPr>
              <w:t>政策维护专项服务</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66AA">
            <w:pPr>
              <w:keepNext w:val="0"/>
              <w:keepLines w:val="0"/>
              <w:widowControl/>
              <w:suppressLineNumbers w:val="0"/>
              <w:jc w:val="left"/>
              <w:textAlignment w:val="center"/>
              <w:rPr>
                <w:rFonts w:hint="default" w:ascii="微软雅黑" w:hAnsi="微软雅黑" w:cs="微软雅黑" w:eastAsiaTheme="minorEastAsia"/>
                <w:i w:val="0"/>
                <w:iCs w:val="0"/>
                <w:color w:val="000000"/>
                <w:sz w:val="22"/>
                <w:szCs w:val="22"/>
                <w:u w:val="none"/>
                <w:lang w:val="en-US" w:eastAsia="zh-CN"/>
              </w:rPr>
            </w:pPr>
            <w:r>
              <w:rPr>
                <w:rFonts w:hint="eastAsia"/>
                <w:lang w:val="en-US" w:eastAsia="zh-CN"/>
              </w:rPr>
              <w:t>对医保相关政策进行调整，及</w:t>
            </w:r>
            <w:r>
              <w:rPr>
                <w:rFonts w:hint="eastAsia" w:ascii="宋体" w:hAnsi="宋体" w:cs="宋体"/>
                <w:kern w:val="0"/>
                <w:sz w:val="18"/>
                <w:szCs w:val="18"/>
              </w:rPr>
              <w:t>甲方运营过程中因自身业务需要产生的</w:t>
            </w:r>
            <w:r>
              <w:rPr>
                <w:rFonts w:hint="eastAsia"/>
                <w:lang w:val="en-US" w:eastAsia="zh-CN"/>
              </w:rPr>
              <w:t>调整，对系统进行政策的维护及更新配置</w:t>
            </w:r>
          </w:p>
        </w:tc>
      </w:tr>
      <w:tr w14:paraId="7854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left w:val="single" w:color="000000" w:sz="4" w:space="0"/>
              <w:right w:val="single" w:color="000000" w:sz="4" w:space="0"/>
            </w:tcBorders>
            <w:shd w:val="clear" w:color="auto" w:fill="auto"/>
            <w:vAlign w:val="center"/>
          </w:tcPr>
          <w:p w14:paraId="19A535BE">
            <w:pPr>
              <w:jc w:val="center"/>
              <w:rPr>
                <w:rFonts w:hint="eastAsia" w:ascii="微软雅黑" w:hAnsi="微软雅黑" w:eastAsia="微软雅黑" w:cs="微软雅黑"/>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7CF6">
            <w:pPr>
              <w:widowControl/>
              <w:spacing w:line="460" w:lineRule="exact"/>
              <w:ind w:firstLine="0" w:firstLineChars="0"/>
              <w:jc w:val="center"/>
              <w:rPr>
                <w:rFonts w:hint="eastAsia" w:ascii="宋体" w:hAnsi="宋体"/>
                <w:bCs/>
                <w:szCs w:val="21"/>
              </w:rPr>
            </w:pPr>
            <w:r>
              <w:rPr>
                <w:rFonts w:hint="eastAsia" w:ascii="微软雅黑" w:hAnsi="微软雅黑" w:eastAsia="微软雅黑" w:cs="微软雅黑"/>
                <w:kern w:val="0"/>
                <w:sz w:val="21"/>
                <w:lang w:val="en-US" w:eastAsia="zh-CN"/>
              </w:rPr>
              <w:t>产品升级服务</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137C">
            <w:pPr>
              <w:numPr>
                <w:ilvl w:val="0"/>
                <w:numId w:val="0"/>
              </w:numPr>
              <w:rPr>
                <w:rFonts w:hint="default" w:ascii="宋体" w:hAnsi="宋体"/>
                <w:bCs/>
                <w:szCs w:val="21"/>
                <w:lang w:val="en-US" w:eastAsia="zh-CN"/>
              </w:rPr>
            </w:pPr>
            <w:r>
              <w:rPr>
                <w:rFonts w:hint="eastAsia" w:ascii="宋体" w:hAnsi="宋体" w:cs="宋体"/>
                <w:kern w:val="0"/>
                <w:sz w:val="18"/>
                <w:szCs w:val="18"/>
                <w:lang w:val="en-US" w:eastAsia="zh-CN"/>
              </w:rPr>
              <w:t>支持</w:t>
            </w:r>
            <w:r>
              <w:rPr>
                <w:rFonts w:hint="eastAsia" w:ascii="宋体" w:hAnsi="宋体" w:cs="宋体"/>
                <w:kern w:val="0"/>
                <w:sz w:val="18"/>
                <w:szCs w:val="18"/>
              </w:rPr>
              <w:t>产品版本的同步升级。基于乙方产品自身的完善和改进，定期免费享受产品的版本同步升级。升级工作由常规巡检或维保时，经甲方认可后实施。</w:t>
            </w:r>
          </w:p>
        </w:tc>
      </w:tr>
      <w:tr w14:paraId="70DD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62" w:type="dxa"/>
            <w:vMerge w:val="continue"/>
            <w:tcBorders>
              <w:left w:val="single" w:color="000000" w:sz="4" w:space="0"/>
              <w:right w:val="single" w:color="000000" w:sz="4" w:space="0"/>
            </w:tcBorders>
            <w:shd w:val="clear" w:color="auto" w:fill="auto"/>
            <w:vAlign w:val="center"/>
          </w:tcPr>
          <w:p w14:paraId="246D804A">
            <w:pPr>
              <w:jc w:val="center"/>
              <w:rPr>
                <w:rFonts w:hint="eastAsia" w:ascii="微软雅黑" w:hAnsi="微软雅黑" w:eastAsia="微软雅黑" w:cs="微软雅黑"/>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47E0">
            <w:pPr>
              <w:widowControl/>
              <w:spacing w:line="460" w:lineRule="exact"/>
              <w:ind w:firstLine="0" w:firstLineChars="0"/>
              <w:jc w:val="center"/>
              <w:rPr>
                <w:rFonts w:hint="eastAsia" w:asciiTheme="minorHAnsi" w:hAnsiTheme="minorHAnsi" w:eastAsiaTheme="minorEastAsia" w:cstheme="minorBidi"/>
                <w:b w:val="0"/>
                <w:kern w:val="2"/>
                <w:sz w:val="21"/>
                <w:szCs w:val="24"/>
                <w:lang w:val="en-US" w:eastAsia="zh-CN" w:bidi="ar-SA"/>
              </w:rPr>
            </w:pPr>
            <w:r>
              <w:rPr>
                <w:rFonts w:hint="eastAsia" w:ascii="微软雅黑" w:hAnsi="微软雅黑" w:eastAsia="微软雅黑" w:cs="微软雅黑"/>
                <w:kern w:val="0"/>
                <w:sz w:val="21"/>
                <w:lang w:val="en-US" w:eastAsia="zh-CN"/>
              </w:rPr>
              <w:t>上门巡检及分析服务</w:t>
            </w:r>
          </w:p>
        </w:tc>
        <w:tc>
          <w:tcPr>
            <w:tcW w:w="6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E905">
            <w:pPr>
              <w:pStyle w:val="5"/>
              <w:numPr>
                <w:ilvl w:val="3"/>
                <w:numId w:val="0"/>
              </w:numPr>
              <w:ind w:leftChars="0"/>
              <w:rPr>
                <w:rFonts w:hint="eastAsia" w:asciiTheme="minorHAnsi" w:hAnsiTheme="minorHAnsi" w:eastAsiaTheme="minorEastAsia" w:cstheme="minorBidi"/>
                <w:b w:val="0"/>
                <w:kern w:val="2"/>
                <w:sz w:val="21"/>
                <w:szCs w:val="24"/>
                <w:lang w:val="en-US" w:eastAsia="zh-CN" w:bidi="ar-SA"/>
              </w:rPr>
            </w:pPr>
            <w:r>
              <w:rPr>
                <w:rFonts w:hint="eastAsia" w:ascii="宋体" w:hAnsi="宋体" w:cs="宋体" w:eastAsiaTheme="minorEastAsia"/>
                <w:b w:val="0"/>
                <w:kern w:val="0"/>
                <w:sz w:val="18"/>
                <w:szCs w:val="18"/>
                <w:lang w:val="en-US" w:eastAsia="zh-CN" w:bidi="ar-SA"/>
              </w:rPr>
              <w:t>巡检服务约定每季度</w:t>
            </w:r>
            <w:r>
              <w:rPr>
                <w:rFonts w:hint="eastAsia" w:ascii="宋体" w:hAnsi="宋体" w:cs="宋体"/>
                <w:b w:val="0"/>
                <w:kern w:val="0"/>
                <w:sz w:val="18"/>
                <w:szCs w:val="18"/>
                <w:lang w:val="en-US" w:eastAsia="zh-CN" w:bidi="ar-SA"/>
              </w:rPr>
              <w:t>两</w:t>
            </w:r>
            <w:r>
              <w:rPr>
                <w:rFonts w:hint="eastAsia" w:ascii="宋体" w:hAnsi="宋体" w:cs="宋体" w:eastAsiaTheme="minorEastAsia"/>
                <w:b w:val="0"/>
                <w:kern w:val="0"/>
                <w:sz w:val="18"/>
                <w:szCs w:val="18"/>
                <w:lang w:val="en-US" w:eastAsia="zh-CN" w:bidi="ar-SA"/>
              </w:rPr>
              <w:t>次巡检，由乙方根据时间及甲方要求进行安排,提供产品运行的调优。</w:t>
            </w:r>
          </w:p>
        </w:tc>
      </w:tr>
    </w:tbl>
    <w:p w14:paraId="428DBD74">
      <w:pPr>
        <w:spacing w:line="360" w:lineRule="auto"/>
        <w:rPr>
          <w:rFonts w:hint="default" w:ascii="宋体" w:hAnsi="宋体" w:eastAsia="宋体" w:cs="宋体"/>
          <w:b/>
          <w:i w:val="0"/>
          <w:color w:val="auto"/>
          <w:kern w:val="0"/>
          <w:sz w:val="24"/>
          <w:szCs w:val="24"/>
          <w:u w:val="none"/>
          <w:lang w:val="en-US" w:eastAsia="zh-CN" w:bidi="ar"/>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966383"/>
    </w:sdtPr>
    <w:sdtContent>
      <w:p w14:paraId="53CE9992">
        <w:pPr>
          <w:pStyle w:val="10"/>
          <w:spacing w:line="240" w:lineRule="auto"/>
        </w:pPr>
        <w:sdt>
          <w:sdtPr>
            <w:id w:val="1293481611"/>
          </w:sdtPr>
          <w:sdtEndPr>
            <w:rPr>
              <w:rStyle w:val="18"/>
              <w:rFonts w:ascii="宋体" w:hAnsi="宋体"/>
            </w:rPr>
          </w:sdtEndPr>
          <w:sdtContent>
            <w:r>
              <w:rPr>
                <w:rStyle w:val="18"/>
              </w:rPr>
              <w:t xml:space="preserve">                                                   </w:t>
            </w:r>
          </w:sdtContent>
        </w:sdt>
      </w:p>
    </w:sdtContent>
  </w:sdt>
  <w:p w14:paraId="29BDD58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35C67F"/>
    <w:multiLevelType w:val="multilevel"/>
    <w:tmpl w:val="7535C67F"/>
    <w:lvl w:ilvl="0" w:tentative="0">
      <w:start w:val="1"/>
      <w:numFmt w:val="decimal"/>
      <w:pStyle w:val="2"/>
      <w:suff w:val="nothing"/>
      <w:lvlText w:val="第%1章 "/>
      <w:lvlJc w:val="left"/>
      <w:pPr>
        <w:ind w:left="432" w:hanging="432"/>
      </w:pPr>
    </w:lvl>
    <w:lvl w:ilvl="1" w:tentative="0">
      <w:start w:val="1"/>
      <w:numFmt w:val="decimal"/>
      <w:pStyle w:val="3"/>
      <w:isLgl/>
      <w:suff w:val="space"/>
      <w:lvlText w:val="%1.%2"/>
      <w:lvlJc w:val="left"/>
      <w:pPr>
        <w:ind w:left="575" w:hanging="575"/>
      </w:pPr>
    </w:lvl>
    <w:lvl w:ilvl="2" w:tentative="0">
      <w:start w:val="1"/>
      <w:numFmt w:val="decimal"/>
      <w:pStyle w:val="4"/>
      <w:isLgl/>
      <w:suff w:val="space"/>
      <w:lvlText w:val="%1.%2.%3"/>
      <w:lvlJc w:val="left"/>
      <w:pPr>
        <w:ind w:left="720" w:hanging="720"/>
      </w:pPr>
    </w:lvl>
    <w:lvl w:ilvl="3" w:tentative="0">
      <w:start w:val="1"/>
      <w:numFmt w:val="decimal"/>
      <w:pStyle w:val="5"/>
      <w:isLgl/>
      <w:suff w:val="space"/>
      <w:lvlText w:val="%1.%2.%3.%4"/>
      <w:lvlJc w:val="left"/>
      <w:pPr>
        <w:ind w:left="864" w:hanging="864"/>
      </w:pPr>
    </w:lvl>
    <w:lvl w:ilvl="4" w:tentative="0">
      <w:start w:val="1"/>
      <w:numFmt w:val="decimal"/>
      <w:pStyle w:val="6"/>
      <w:isLgl/>
      <w:suff w:val="space"/>
      <w:lvlText w:val="%1.%2.%3.%4.%5"/>
      <w:lvlJc w:val="left"/>
      <w:pPr>
        <w:ind w:left="1008" w:hanging="1008"/>
      </w:pPr>
    </w:lvl>
    <w:lvl w:ilvl="5" w:tentative="0">
      <w:start w:val="1"/>
      <w:numFmt w:val="decimal"/>
      <w:isLgl/>
      <w:suff w:val="space"/>
      <w:lvlText w:val="%1.%2.%3.%4.%5.%6"/>
      <w:lvlJc w:val="left"/>
      <w:pPr>
        <w:ind w:left="1151" w:hanging="1151"/>
      </w:pPr>
    </w:lvl>
    <w:lvl w:ilvl="6" w:tentative="0">
      <w:start w:val="1"/>
      <w:numFmt w:val="decimal"/>
      <w:isLgl/>
      <w:suff w:val="space"/>
      <w:lvlText w:val="%1.%2.%3.%4.%5.%6.%7"/>
      <w:lvlJc w:val="left"/>
      <w:pPr>
        <w:ind w:left="1296" w:hanging="1296"/>
      </w:pPr>
    </w:lvl>
    <w:lvl w:ilvl="7" w:tentative="0">
      <w:start w:val="1"/>
      <w:numFmt w:val="decimal"/>
      <w:isLgl/>
      <w:suff w:val="space"/>
      <w:lvlText w:val="%1.%2.%3.%4.%5.%6.%7.%8"/>
      <w:lvlJc w:val="left"/>
      <w:pPr>
        <w:ind w:left="1440" w:hanging="1440"/>
      </w:pPr>
    </w:lvl>
    <w:lvl w:ilvl="8" w:tentative="0">
      <w:start w:val="1"/>
      <w:numFmt w:val="decimal"/>
      <w:isLgl/>
      <w:suff w:val="space"/>
      <w:lvlText w:val="%1.%2.%3.%4.%5.%6.%7.%8.%9"/>
      <w:lvlJc w:val="left"/>
      <w:pPr>
        <w:ind w:left="1583" w:hanging="15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012338CC"/>
    <w:rsid w:val="09ED4C49"/>
    <w:rsid w:val="0A8F7AAE"/>
    <w:rsid w:val="0B464D25"/>
    <w:rsid w:val="0C433098"/>
    <w:rsid w:val="0F921F2C"/>
    <w:rsid w:val="12F17558"/>
    <w:rsid w:val="15264610"/>
    <w:rsid w:val="166C5EAB"/>
    <w:rsid w:val="1B4E3AB4"/>
    <w:rsid w:val="20B903DD"/>
    <w:rsid w:val="2350337E"/>
    <w:rsid w:val="27A16501"/>
    <w:rsid w:val="27D668C5"/>
    <w:rsid w:val="28007432"/>
    <w:rsid w:val="28310E02"/>
    <w:rsid w:val="2DA57465"/>
    <w:rsid w:val="2F0C1001"/>
    <w:rsid w:val="2FE37BCF"/>
    <w:rsid w:val="32E01E43"/>
    <w:rsid w:val="33535743"/>
    <w:rsid w:val="36E43418"/>
    <w:rsid w:val="37C64475"/>
    <w:rsid w:val="3926539A"/>
    <w:rsid w:val="399D2C5F"/>
    <w:rsid w:val="39B72493"/>
    <w:rsid w:val="3B6A0718"/>
    <w:rsid w:val="3CC33464"/>
    <w:rsid w:val="3CE77152"/>
    <w:rsid w:val="43451FEA"/>
    <w:rsid w:val="45673B23"/>
    <w:rsid w:val="46C422B2"/>
    <w:rsid w:val="47040454"/>
    <w:rsid w:val="4F482FED"/>
    <w:rsid w:val="4FA95AFE"/>
    <w:rsid w:val="514C2208"/>
    <w:rsid w:val="52B80BF1"/>
    <w:rsid w:val="53656BCB"/>
    <w:rsid w:val="56877B05"/>
    <w:rsid w:val="58B6677D"/>
    <w:rsid w:val="599D770E"/>
    <w:rsid w:val="5B740F76"/>
    <w:rsid w:val="5F9C6823"/>
    <w:rsid w:val="610953DF"/>
    <w:rsid w:val="63C74D38"/>
    <w:rsid w:val="646740A9"/>
    <w:rsid w:val="68D3089C"/>
    <w:rsid w:val="6A0C7949"/>
    <w:rsid w:val="70FE623D"/>
    <w:rsid w:val="79A4293C"/>
    <w:rsid w:val="7B55190B"/>
    <w:rsid w:val="7D775AE2"/>
    <w:rsid w:val="7EA15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pageBreakBefore/>
      <w:numPr>
        <w:ilvl w:val="0"/>
        <w:numId w:val="1"/>
      </w:numPr>
      <w:spacing w:before="50" w:beforeLines="50" w:after="50" w:afterLines="50"/>
      <w:ind w:firstLine="0" w:firstLineChars="0"/>
      <w:jc w:val="center"/>
      <w:outlineLvl w:val="0"/>
    </w:pPr>
    <w:rPr>
      <w:rFonts w:cs="Times New Roman"/>
      <w:b/>
      <w:kern w:val="44"/>
      <w:sz w:val="36"/>
      <w:szCs w:val="20"/>
    </w:rPr>
  </w:style>
  <w:style w:type="paragraph" w:styleId="3">
    <w:name w:val="heading 2"/>
    <w:basedOn w:val="1"/>
    <w:next w:val="1"/>
    <w:qFormat/>
    <w:uiPriority w:val="0"/>
    <w:pPr>
      <w:keepNext/>
      <w:keepLines/>
      <w:numPr>
        <w:ilvl w:val="1"/>
        <w:numId w:val="1"/>
      </w:numPr>
      <w:spacing w:before="50" w:beforeLines="50" w:after="50" w:afterLines="50"/>
      <w:ind w:firstLine="0" w:firstLineChars="0"/>
      <w:jc w:val="left"/>
      <w:outlineLvl w:val="1"/>
    </w:pPr>
    <w:rPr>
      <w:rFonts w:cs="Times New Roman"/>
      <w:b/>
      <w:sz w:val="30"/>
      <w:szCs w:val="20"/>
    </w:rPr>
  </w:style>
  <w:style w:type="paragraph" w:styleId="4">
    <w:name w:val="heading 3"/>
    <w:basedOn w:val="1"/>
    <w:next w:val="1"/>
    <w:qFormat/>
    <w:uiPriority w:val="0"/>
    <w:pPr>
      <w:keepNext/>
      <w:keepLines/>
      <w:numPr>
        <w:ilvl w:val="2"/>
        <w:numId w:val="1"/>
      </w:numPr>
      <w:ind w:firstLine="0" w:firstLineChars="0"/>
      <w:jc w:val="left"/>
      <w:outlineLvl w:val="2"/>
    </w:pPr>
    <w:rPr>
      <w:rFonts w:ascii="Times New Roman" w:hAnsi="Times New Roman" w:cs="Times New Roman"/>
      <w:b/>
      <w:sz w:val="28"/>
      <w:szCs w:val="20"/>
    </w:rPr>
  </w:style>
  <w:style w:type="paragraph" w:styleId="5">
    <w:name w:val="heading 4"/>
    <w:basedOn w:val="1"/>
    <w:next w:val="1"/>
    <w:qFormat/>
    <w:uiPriority w:val="9"/>
    <w:pPr>
      <w:keepNext/>
      <w:keepLines/>
      <w:numPr>
        <w:ilvl w:val="3"/>
        <w:numId w:val="1"/>
      </w:numPr>
      <w:ind w:left="0" w:firstLine="0" w:firstLineChars="0"/>
      <w:jc w:val="left"/>
      <w:outlineLvl w:val="3"/>
    </w:pPr>
    <w:rPr>
      <w:rFonts w:ascii="Times New Roman" w:cs="Times New Roman"/>
      <w:b/>
      <w:sz w:val="28"/>
      <w:szCs w:val="20"/>
    </w:rPr>
  </w:style>
  <w:style w:type="paragraph" w:styleId="6">
    <w:name w:val="heading 5"/>
    <w:basedOn w:val="1"/>
    <w:next w:val="1"/>
    <w:qFormat/>
    <w:uiPriority w:val="9"/>
    <w:pPr>
      <w:keepNext/>
      <w:keepLines/>
      <w:numPr>
        <w:ilvl w:val="4"/>
        <w:numId w:val="1"/>
      </w:numPr>
      <w:ind w:left="0" w:firstLine="0" w:firstLineChars="0"/>
      <w:outlineLvl w:val="4"/>
    </w:pPr>
    <w:rPr>
      <w:rFonts w:ascii="Times New Roman" w:hAnsi="Times New Roman" w:cs="Times New Roman"/>
      <w:b/>
      <w:sz w:val="28"/>
      <w:szCs w:val="20"/>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7">
    <w:name w:val="Normal Indent"/>
    <w:basedOn w:val="1"/>
    <w:unhideWhenUsed/>
    <w:qFormat/>
    <w:uiPriority w:val="0"/>
    <w:pPr>
      <w:ind w:firstLine="420"/>
    </w:pPr>
    <w:rPr>
      <w:rFonts w:ascii="等线" w:hAnsi="等线" w:cs="Times New Roman"/>
      <w:szCs w:val="22"/>
    </w:rPr>
  </w:style>
  <w:style w:type="paragraph" w:styleId="8">
    <w:name w:val="Body Text"/>
    <w:basedOn w:val="1"/>
    <w:unhideWhenUsed/>
    <w:qFormat/>
    <w:uiPriority w:val="99"/>
    <w:pPr>
      <w:spacing w:after="120"/>
      <w:ind w:firstLine="0" w:firstLineChars="0"/>
    </w:pPr>
    <w:rPr>
      <w:rFonts w:ascii="等线" w:hAnsi="等线" w:cs="Times New Roman"/>
      <w:szCs w:val="22"/>
    </w:rPr>
  </w:style>
  <w:style w:type="paragraph" w:styleId="9">
    <w:name w:val="Body Text Indent"/>
    <w:basedOn w:val="1"/>
    <w:autoRedefine/>
    <w:semiHidden/>
    <w:unhideWhenUsed/>
    <w:qFormat/>
    <w:uiPriority w:val="99"/>
    <w:pPr>
      <w:ind w:left="420" w:leftChars="2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link w:val="1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9"/>
    <w:autoRedefine/>
    <w:qFormat/>
    <w:uiPriority w:val="0"/>
    <w:pPr>
      <w:ind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1"/>
    <w:basedOn w:val="1"/>
    <w:autoRedefine/>
    <w:qFormat/>
    <w:uiPriority w:val="0"/>
    <w:pPr>
      <w:widowControl/>
      <w:topLinePunct/>
      <w:spacing w:before="156" w:beforeLines="50" w:after="156" w:afterLines="50" w:line="300" w:lineRule="auto"/>
      <w:ind w:left="420"/>
    </w:pPr>
    <w:rPr>
      <w:rFonts w:asciiTheme="minorHAnsi" w:hAnsiTheme="minorHAnsi"/>
    </w:rPr>
  </w:style>
  <w:style w:type="paragraph" w:styleId="17">
    <w:name w:val="List Paragraph"/>
    <w:basedOn w:val="1"/>
    <w:autoRedefine/>
    <w:qFormat/>
    <w:uiPriority w:val="34"/>
    <w:pPr>
      <w:ind w:firstLine="420"/>
    </w:pPr>
  </w:style>
  <w:style w:type="character" w:customStyle="1" w:styleId="18">
    <w:name w:val="页眉 字符"/>
    <w:basedOn w:val="15"/>
    <w:link w:val="11"/>
    <w:qFormat/>
    <w:uiPriority w:val="0"/>
    <w:rPr>
      <w:sz w:val="18"/>
    </w:rPr>
  </w:style>
  <w:style w:type="paragraph" w:customStyle="1" w:styleId="19">
    <w:name w:val="*正文"/>
    <w:basedOn w:val="1"/>
    <w:autoRedefine/>
    <w:qFormat/>
    <w:uiPriority w:val="0"/>
    <w:pPr>
      <w:ind w:firstLine="480"/>
    </w:pPr>
    <w:rPr>
      <w:rFonts w:cs="仿宋_GB2312"/>
    </w:rPr>
  </w:style>
  <w:style w:type="paragraph" w:customStyle="1" w:styleId="20">
    <w:name w:val="_正文段落"/>
    <w:basedOn w:val="1"/>
    <w:autoRedefine/>
    <w:qFormat/>
    <w:uiPriority w:val="0"/>
    <w:pPr>
      <w:spacing w:beforeLines="15" w:afterLines="15"/>
    </w:pPr>
    <w:rPr>
      <w:rFonts w:ascii="Times New Roman" w:hAnsi="Times New Roman" w:cs="Times New Roman"/>
      <w:kern w:val="0"/>
      <w:szCs w:val="24"/>
    </w:rPr>
  </w:style>
  <w:style w:type="paragraph" w:customStyle="1" w:styleId="21">
    <w:name w:val="列表段落2"/>
    <w:basedOn w:val="1"/>
    <w:autoRedefine/>
    <w:qFormat/>
    <w:uiPriority w:val="0"/>
    <w:pPr>
      <w:ind w:firstLine="420"/>
    </w:pPr>
    <w:rPr>
      <w:rFonts w:ascii="Calibri" w:hAnsi="Calibri"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1917</Words>
  <Characters>1930</Characters>
  <Lines>0</Lines>
  <Paragraphs>0</Paragraphs>
  <TotalTime>2273</TotalTime>
  <ScaleCrop>false</ScaleCrop>
  <LinksUpToDate>false</LinksUpToDate>
  <CharactersWithSpaces>1930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2023-09-04T03:05:00Z</dcterms:created>
  <dc:creator>powersi</dc:creator>
  <cp:lastModifiedBy>周泊利</cp:lastModifiedBy>
  <dcterms:modified xsi:type="dcterms:W3CDTF">2025-10-22T03:05:52Z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D0D2185749C34D10B7E81ACEA3C12D6C_13</vt:lpwstr>
  </property>
  <property fmtid="{D5CDD505-2E9C-101B-9397-08002B2CF9AE}" pid="4" name="KSOTemplateDocerSaveRecord">
    <vt:lpwstr>eyJoZGlkIjoiODU2ZTQ5MWY5ZTc5MWRiYTA5ZGI3NDQxZWM1ZWMyNzgiLCJ1c2VySWQiOiI1MjUwOTIyMDMifQ==</vt:lpwstr>
  </property>
</Properties>
</file>